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lineRule="auto" w:line="348" w:before="91" w:after="0"/>
        <w:rPr>
          <w:sz w:val="24"/>
          <w:szCs w:val="24"/>
        </w:rPr>
      </w:pPr>
      <w:r>
        <w:rPr>
          <w:b w:val="false"/>
          <w:bCs w:val="false"/>
          <w:w w:val="105"/>
          <w:sz w:val="24"/>
          <w:szCs w:val="24"/>
        </w:rPr>
        <w:t>IN</w:t>
      </w:r>
      <w:r>
        <w:rPr>
          <w:spacing w:val="-16"/>
          <w:w w:val="105"/>
          <w:sz w:val="24"/>
          <w:szCs w:val="24"/>
        </w:rPr>
        <w:t xml:space="preserve"> </w:t>
      </w:r>
      <w:r>
        <w:rPr>
          <w:w w:val="105"/>
          <w:sz w:val="24"/>
          <w:szCs w:val="24"/>
        </w:rPr>
        <w:t>THE</w:t>
      </w:r>
      <w:r>
        <w:rPr>
          <w:spacing w:val="-15"/>
          <w:w w:val="105"/>
          <w:sz w:val="24"/>
          <w:szCs w:val="24"/>
        </w:rPr>
        <w:t xml:space="preserve"> </w:t>
      </w:r>
      <w:r>
        <w:rPr>
          <w:w w:val="105"/>
          <w:sz w:val="24"/>
          <w:szCs w:val="24"/>
        </w:rPr>
        <w:t>CIRCUIT</w:t>
      </w:r>
      <w:r>
        <w:rPr>
          <w:spacing w:val="-9"/>
          <w:w w:val="105"/>
          <w:sz w:val="24"/>
          <w:szCs w:val="24"/>
        </w:rPr>
        <w:t xml:space="preserve"> </w:t>
      </w:r>
      <w:r>
        <w:rPr>
          <w:w w:val="105"/>
          <w:sz w:val="24"/>
          <w:szCs w:val="24"/>
        </w:rPr>
        <w:t>COURT</w:t>
      </w:r>
      <w:r>
        <w:rPr>
          <w:spacing w:val="-15"/>
          <w:w w:val="105"/>
          <w:sz w:val="24"/>
          <w:szCs w:val="24"/>
        </w:rPr>
        <w:t xml:space="preserve"> </w:t>
      </w:r>
      <w:r>
        <w:rPr>
          <w:w w:val="105"/>
          <w:sz w:val="24"/>
          <w:szCs w:val="24"/>
        </w:rPr>
        <w:t>OF</w:t>
      </w:r>
      <w:r>
        <w:rPr>
          <w:spacing w:val="-15"/>
          <w:w w:val="105"/>
          <w:sz w:val="24"/>
          <w:szCs w:val="24"/>
        </w:rPr>
        <w:t xml:space="preserve"> </w:t>
      </w:r>
      <w:r>
        <w:rPr>
          <w:w w:val="105"/>
          <w:sz w:val="24"/>
          <w:szCs w:val="24"/>
        </w:rPr>
        <w:t>COOK</w:t>
      </w:r>
      <w:r>
        <w:rPr>
          <w:spacing w:val="-15"/>
          <w:w w:val="105"/>
          <w:sz w:val="24"/>
          <w:szCs w:val="24"/>
        </w:rPr>
        <w:t xml:space="preserve"> </w:t>
      </w:r>
      <w:r>
        <w:rPr>
          <w:w w:val="105"/>
          <w:sz w:val="24"/>
          <w:szCs w:val="24"/>
        </w:rPr>
        <w:t>COUNTY,</w:t>
      </w:r>
      <w:r>
        <w:rPr>
          <w:spacing w:val="-13"/>
          <w:w w:val="105"/>
          <w:sz w:val="24"/>
          <w:szCs w:val="24"/>
        </w:rPr>
        <w:t xml:space="preserve"> </w:t>
      </w:r>
      <w:r>
        <w:rPr>
          <w:w w:val="105"/>
          <w:sz w:val="24"/>
          <w:szCs w:val="24"/>
        </w:rPr>
        <w:t>ILLINOIS COUNTY DEPARTMENT, LAW DIVISION</w:t>
      </w:r>
    </w:p>
    <w:p>
      <w:pPr>
        <w:pStyle w:val="TextBody"/>
        <w:rPr>
          <w:b/>
          <w:b/>
          <w:sz w:val="24"/>
          <w:szCs w:val="24"/>
        </w:rPr>
      </w:pPr>
      <w:r>
        <w:rPr>
          <w:b/>
          <w:sz w:val="24"/>
          <w:szCs w:val="24"/>
        </w:rPr>
      </w:r>
    </w:p>
    <w:p>
      <w:pPr>
        <w:pStyle w:val="TextBody"/>
        <w:spacing w:before="5" w:after="0"/>
        <w:rPr>
          <w:b/>
          <w:b/>
          <w:sz w:val="24"/>
          <w:szCs w:val="24"/>
        </w:rPr>
      </w:pPr>
      <w:r>
        <w:rPr>
          <w:b/>
          <w:sz w:val="24"/>
          <w:szCs w:val="24"/>
        </w:rPr>
      </w:r>
    </w:p>
    <w:p>
      <w:pPr>
        <w:sectPr>
          <w:footerReference w:type="default" r:id="rId2"/>
          <w:type w:val="nextPage"/>
          <w:pgSz w:w="11906" w:h="15700"/>
          <w:pgMar w:left="1320" w:right="1680" w:header="0" w:top="1800" w:footer="720" w:bottom="777" w:gutter="0"/>
          <w:pgNumType w:fmt="decimal"/>
          <w:formProt w:val="false"/>
          <w:textDirection w:val="lrTb"/>
          <w:docGrid w:type="default" w:linePitch="100" w:charSpace="8192"/>
        </w:sectPr>
      </w:pPr>
    </w:p>
    <w:p>
      <w:pPr>
        <w:pStyle w:val="TextBody"/>
        <w:spacing w:lineRule="auto" w:line="259" w:before="100" w:after="0"/>
        <w:ind w:firstLine="3"/>
        <w:rPr>
          <w:sz w:val="24"/>
          <w:szCs w:val="24"/>
        </w:rPr>
      </w:pPr>
      <w:r>
        <w:rPr>
          <w:w w:val="105"/>
          <w:sz w:val="24"/>
          <w:szCs w:val="24"/>
        </w:rPr>
        <w:t>PAUL R. DULBERG, INDIVIDUALLY</w:t>
      </w:r>
      <w:r>
        <w:rPr>
          <w:spacing w:val="40"/>
          <w:w w:val="105"/>
          <w:sz w:val="24"/>
          <w:szCs w:val="24"/>
        </w:rPr>
        <w:t xml:space="preserve"> </w:t>
      </w:r>
      <w:r>
        <w:rPr>
          <w:w w:val="105"/>
          <w:sz w:val="24"/>
          <w:szCs w:val="24"/>
        </w:rPr>
        <w:t xml:space="preserve">AND THE PAUL R. DULBERG REVOCABLE </w:t>
      </w:r>
      <w:r>
        <w:rPr>
          <w:spacing w:val="-4"/>
          <w:w w:val="105"/>
          <w:sz w:val="24"/>
          <w:szCs w:val="24"/>
        </w:rPr>
        <w:t>TRUST</w:t>
      </w:r>
    </w:p>
    <w:p>
      <w:pPr>
        <w:pStyle w:val="TextBody"/>
        <w:spacing w:before="2" w:after="0"/>
        <w:rPr>
          <w:sz w:val="24"/>
          <w:szCs w:val="24"/>
        </w:rPr>
      </w:pPr>
      <w:r>
        <w:rPr>
          <w:sz w:val="24"/>
          <w:szCs w:val="24"/>
        </w:rPr>
      </w:r>
    </w:p>
    <w:p>
      <w:pPr>
        <w:pStyle w:val="TextBody"/>
        <w:ind w:firstLine="2880"/>
        <w:rPr>
          <w:sz w:val="24"/>
          <w:szCs w:val="24"/>
        </w:rPr>
      </w:pPr>
      <w:r>
        <w:rPr>
          <w:spacing w:val="-2"/>
          <w:w w:val="110"/>
          <w:sz w:val="24"/>
          <w:szCs w:val="24"/>
        </w:rPr>
        <w:t>Plaintiffs,</w:t>
        <w:tab/>
        <w:tab/>
        <w:tab/>
      </w:r>
    </w:p>
    <w:p>
      <w:pPr>
        <w:pStyle w:val="Normal"/>
        <w:jc w:val="center"/>
        <w:rPr>
          <w:spacing w:val="-5"/>
          <w:w w:val="105"/>
          <w:sz w:val="24"/>
          <w:szCs w:val="24"/>
        </w:rPr>
      </w:pPr>
      <w:r>
        <w:rPr>
          <w:spacing w:val="-5"/>
          <w:w w:val="105"/>
          <w:sz w:val="24"/>
          <w:szCs w:val="24"/>
        </w:rPr>
        <w:t>vs.</w:t>
      </w:r>
    </w:p>
    <w:p>
      <w:pPr>
        <w:pStyle w:val="TextBody"/>
        <w:spacing w:before="6" w:after="0"/>
        <w:rPr>
          <w:sz w:val="24"/>
          <w:szCs w:val="24"/>
        </w:rPr>
      </w:pPr>
      <w:r>
        <w:rPr>
          <w:sz w:val="24"/>
          <w:szCs w:val="24"/>
        </w:rPr>
      </w:r>
    </w:p>
    <w:p>
      <w:pPr>
        <w:pStyle w:val="TextBody"/>
        <w:spacing w:lineRule="auto" w:line="252" w:before="22" w:after="0"/>
        <w:rPr>
          <w:spacing w:val="-2"/>
          <w:w w:val="105"/>
          <w:sz w:val="24"/>
          <w:szCs w:val="24"/>
        </w:rPr>
      </w:pPr>
      <w:bookmarkStart w:id="0" w:name="_Hlk134711607"/>
      <w:r>
        <w:rPr>
          <w:w w:val="105"/>
          <w:sz w:val="24"/>
          <w:szCs w:val="24"/>
        </w:rPr>
        <w:t>KELLY N. BAUDIN</w:t>
      </w:r>
      <w:r>
        <w:rPr>
          <w:spacing w:val="40"/>
          <w:w w:val="105"/>
          <w:sz w:val="24"/>
          <w:szCs w:val="24"/>
        </w:rPr>
        <w:t xml:space="preserve"> </w:t>
      </w:r>
      <w:r>
        <w:rPr>
          <w:i/>
          <w:w w:val="105"/>
          <w:sz w:val="24"/>
          <w:szCs w:val="24"/>
        </w:rPr>
        <w:t xml:space="preserve">A/KIA </w:t>
      </w:r>
      <w:r>
        <w:rPr>
          <w:w w:val="105"/>
          <w:sz w:val="24"/>
          <w:szCs w:val="24"/>
        </w:rPr>
        <w:t>BAUDIN &amp; BAUDIN, BAUDIN &amp; BAUDIN AN ASSOCIATION OF ATTORNEYS, LAW OFFICES</w:t>
      </w:r>
      <w:r>
        <w:rPr>
          <w:spacing w:val="40"/>
          <w:w w:val="105"/>
          <w:sz w:val="24"/>
          <w:szCs w:val="24"/>
        </w:rPr>
        <w:t xml:space="preserve"> </w:t>
      </w:r>
      <w:r>
        <w:rPr>
          <w:w w:val="105"/>
          <w:sz w:val="24"/>
          <w:szCs w:val="24"/>
        </w:rPr>
        <w:t>OF</w:t>
      </w:r>
      <w:r>
        <w:rPr>
          <w:spacing w:val="40"/>
          <w:w w:val="105"/>
          <w:sz w:val="24"/>
          <w:szCs w:val="24"/>
        </w:rPr>
        <w:t xml:space="preserve"> </w:t>
      </w:r>
      <w:r>
        <w:rPr>
          <w:w w:val="105"/>
          <w:sz w:val="24"/>
          <w:szCs w:val="24"/>
        </w:rPr>
        <w:t>BAUDIN</w:t>
      </w:r>
      <w:r>
        <w:rPr>
          <w:spacing w:val="40"/>
          <w:w w:val="105"/>
          <w:sz w:val="24"/>
          <w:szCs w:val="24"/>
        </w:rPr>
        <w:t xml:space="preserve"> </w:t>
      </w:r>
      <w:r>
        <w:rPr>
          <w:w w:val="105"/>
          <w:sz w:val="24"/>
          <w:szCs w:val="24"/>
        </w:rPr>
        <w:t xml:space="preserve">&amp; BAUDIN,  BAUDIN &amp; BAUDIN LAW OFFICES, WILLIAM RANDAL BAUDIN II </w:t>
      </w:r>
      <w:r>
        <w:rPr>
          <w:i/>
          <w:w w:val="105"/>
          <w:sz w:val="24"/>
          <w:szCs w:val="24"/>
        </w:rPr>
        <w:t>A/K/</w:t>
      </w:r>
      <w:r>
        <w:rPr>
          <w:i/>
          <w:spacing w:val="-7"/>
          <w:w w:val="105"/>
          <w:sz w:val="24"/>
          <w:szCs w:val="24"/>
        </w:rPr>
        <w:t xml:space="preserve"> </w:t>
      </w:r>
      <w:r>
        <w:rPr>
          <w:w w:val="105"/>
          <w:sz w:val="24"/>
          <w:szCs w:val="24"/>
        </w:rPr>
        <w:t>A BAUDIN &amp; BAUDIN, BAUDIN &amp; BAUDIN AN ASSOCIATION</w:t>
      </w:r>
      <w:r>
        <w:rPr>
          <w:spacing w:val="40"/>
          <w:w w:val="105"/>
          <w:sz w:val="24"/>
          <w:szCs w:val="24"/>
        </w:rPr>
        <w:t xml:space="preserve"> </w:t>
      </w:r>
      <w:r>
        <w:rPr>
          <w:w w:val="105"/>
          <w:sz w:val="24"/>
          <w:szCs w:val="24"/>
        </w:rPr>
        <w:t>OF ATTORNEYS, LAW OFFICES</w:t>
      </w:r>
      <w:r>
        <w:rPr>
          <w:spacing w:val="40"/>
          <w:w w:val="105"/>
          <w:sz w:val="24"/>
          <w:szCs w:val="24"/>
        </w:rPr>
        <w:t xml:space="preserve"> </w:t>
      </w:r>
      <w:r>
        <w:rPr>
          <w:w w:val="105"/>
          <w:sz w:val="24"/>
          <w:szCs w:val="24"/>
        </w:rPr>
        <w:t>OF BAUDIN</w:t>
      </w:r>
      <w:r>
        <w:rPr>
          <w:spacing w:val="40"/>
          <w:w w:val="105"/>
          <w:sz w:val="24"/>
          <w:szCs w:val="24"/>
        </w:rPr>
        <w:t xml:space="preserve"> </w:t>
      </w:r>
      <w:r>
        <w:rPr>
          <w:w w:val="105"/>
          <w:sz w:val="24"/>
          <w:szCs w:val="24"/>
        </w:rPr>
        <w:t>&amp;</w:t>
      </w:r>
      <w:r>
        <w:rPr>
          <w:spacing w:val="40"/>
          <w:w w:val="105"/>
          <w:sz w:val="24"/>
          <w:szCs w:val="24"/>
        </w:rPr>
        <w:t xml:space="preserve"> </w:t>
      </w:r>
      <w:r>
        <w:rPr>
          <w:w w:val="105"/>
          <w:sz w:val="24"/>
          <w:szCs w:val="24"/>
        </w:rPr>
        <w:t xml:space="preserve">BAUDIN, BAUDIN &amp; BAUDIN LAW OFFICES, KELRAN, INC </w:t>
      </w:r>
      <w:r>
        <w:rPr>
          <w:i/>
          <w:w w:val="105"/>
          <w:sz w:val="24"/>
          <w:szCs w:val="24"/>
        </w:rPr>
        <w:t xml:space="preserve">AIK/A </w:t>
      </w:r>
      <w:r>
        <w:rPr>
          <w:w w:val="105"/>
          <w:sz w:val="24"/>
          <w:szCs w:val="24"/>
        </w:rPr>
        <w:t xml:space="preserve">THE BAUDIN LAW GROUP, Ltd., </w:t>
      </w:r>
      <w:bookmarkEnd w:id="0"/>
      <w:r>
        <w:rPr>
          <w:w w:val="105"/>
          <w:sz w:val="24"/>
          <w:szCs w:val="24"/>
        </w:rPr>
        <w:t xml:space="preserve">JOSEPH DAVID OLSEN, </w:t>
      </w:r>
      <w:r>
        <w:rPr>
          <w:i/>
          <w:w w:val="105"/>
          <w:sz w:val="24"/>
          <w:szCs w:val="24"/>
        </w:rPr>
        <w:t xml:space="preserve">AIKJA </w:t>
      </w:r>
      <w:r>
        <w:rPr>
          <w:w w:val="105"/>
          <w:sz w:val="24"/>
          <w:szCs w:val="24"/>
        </w:rPr>
        <w:t>YALDEN, OLSEN &amp; WILLETTE</w:t>
      </w:r>
      <w:r>
        <w:rPr>
          <w:spacing w:val="40"/>
          <w:w w:val="105"/>
          <w:sz w:val="24"/>
          <w:szCs w:val="24"/>
        </w:rPr>
        <w:t xml:space="preserve"> </w:t>
      </w:r>
      <w:r>
        <w:rPr>
          <w:w w:val="105"/>
          <w:sz w:val="24"/>
          <w:szCs w:val="24"/>
        </w:rPr>
        <w:t>LAW OFFICES, CRAIG A WILLETTE,</w:t>
      </w:r>
      <w:r>
        <w:rPr>
          <w:spacing w:val="80"/>
          <w:w w:val="105"/>
          <w:sz w:val="24"/>
          <w:szCs w:val="24"/>
        </w:rPr>
        <w:t xml:space="preserve"> </w:t>
      </w:r>
      <w:r>
        <w:rPr>
          <w:i/>
          <w:w w:val="105"/>
          <w:sz w:val="24"/>
          <w:szCs w:val="24"/>
        </w:rPr>
        <w:t xml:space="preserve">A/KIA </w:t>
      </w:r>
      <w:r>
        <w:rPr>
          <w:w w:val="105"/>
          <w:sz w:val="24"/>
          <w:szCs w:val="24"/>
        </w:rPr>
        <w:t>YALDEN, OLSEN &amp; WILLETTE</w:t>
      </w:r>
      <w:r>
        <w:rPr>
          <w:spacing w:val="40"/>
          <w:w w:val="105"/>
          <w:sz w:val="24"/>
          <w:szCs w:val="24"/>
        </w:rPr>
        <w:t xml:space="preserve"> </w:t>
      </w:r>
      <w:r>
        <w:rPr>
          <w:w w:val="105"/>
          <w:sz w:val="24"/>
          <w:szCs w:val="24"/>
        </w:rPr>
        <w:t xml:space="preserve">LAW OFFICES, RAPHAEL E YALDEN II, </w:t>
      </w:r>
      <w:r>
        <w:rPr>
          <w:i/>
          <w:w w:val="105"/>
          <w:sz w:val="24"/>
          <w:szCs w:val="24"/>
        </w:rPr>
        <w:t xml:space="preserve">AIK/A </w:t>
      </w:r>
      <w:r>
        <w:rPr>
          <w:w w:val="105"/>
          <w:sz w:val="24"/>
          <w:szCs w:val="24"/>
        </w:rPr>
        <w:t>YALDEN, OLSEN &amp; WILLETTE</w:t>
      </w:r>
      <w:r>
        <w:rPr>
          <w:spacing w:val="40"/>
          <w:w w:val="105"/>
          <w:sz w:val="24"/>
          <w:szCs w:val="24"/>
        </w:rPr>
        <w:t xml:space="preserve"> </w:t>
      </w:r>
      <w:r>
        <w:rPr>
          <w:w w:val="105"/>
          <w:sz w:val="24"/>
          <w:szCs w:val="24"/>
        </w:rPr>
        <w:t>LAW OFFICES, ADR SYSTEMS OF AMERICA, LLC., ASSUMED NAME ADR COMMERCIAL</w:t>
      </w:r>
      <w:r>
        <w:rPr>
          <w:spacing w:val="40"/>
          <w:w w:val="105"/>
          <w:sz w:val="24"/>
          <w:szCs w:val="24"/>
        </w:rPr>
        <w:t xml:space="preserve"> </w:t>
      </w:r>
      <w:r>
        <w:rPr>
          <w:w w:val="105"/>
          <w:sz w:val="24"/>
          <w:szCs w:val="24"/>
        </w:rPr>
        <w:t xml:space="preserve">SERVICES, ALLSTATE PROPERTY AND CASULTY INSURANCE </w:t>
      </w:r>
      <w:r>
        <w:rPr>
          <w:spacing w:val="-2"/>
          <w:w w:val="105"/>
          <w:sz w:val="24"/>
          <w:szCs w:val="24"/>
        </w:rPr>
        <w:t>COMPANY</w:t>
      </w:r>
    </w:p>
    <w:p>
      <w:pPr>
        <w:pStyle w:val="TextBody"/>
        <w:spacing w:lineRule="auto" w:line="252"/>
        <w:rPr>
          <w:spacing w:val="-2"/>
          <w:w w:val="105"/>
          <w:sz w:val="24"/>
          <w:szCs w:val="24"/>
        </w:rPr>
      </w:pPr>
      <w:r>
        <w:rPr>
          <w:spacing w:val="-2"/>
          <w:w w:val="105"/>
          <w:sz w:val="24"/>
          <w:szCs w:val="24"/>
        </w:rPr>
      </w:r>
    </w:p>
    <w:p>
      <w:pPr>
        <w:pStyle w:val="TextBody"/>
        <w:spacing w:lineRule="auto" w:line="252"/>
        <w:ind w:firstLine="2880"/>
        <w:rPr>
          <w:spacing w:val="-2"/>
          <w:w w:val="105"/>
          <w:sz w:val="24"/>
          <w:szCs w:val="24"/>
        </w:rPr>
      </w:pPr>
      <w:r>
        <w:rPr>
          <w:spacing w:val="-2"/>
          <w:w w:val="105"/>
          <w:sz w:val="24"/>
          <w:szCs w:val="24"/>
        </w:rPr>
        <w:t>Defendants</w:t>
      </w:r>
    </w:p>
    <w:p>
      <w:pPr>
        <w:pStyle w:val="TextBody"/>
        <w:spacing w:lineRule="auto" w:line="252"/>
        <w:rPr>
          <w:sz w:val="24"/>
          <w:szCs w:val="24"/>
        </w:rPr>
      </w:pPr>
      <w:r>
        <w:rPr>
          <w:sz w:val="24"/>
          <w:szCs w:val="24"/>
        </w:rPr>
      </w:r>
    </w:p>
    <w:p>
      <w:pPr>
        <w:pStyle w:val="Normal"/>
        <w:ind w:left="158" w:hanging="158"/>
        <w:rPr>
          <w:sz w:val="24"/>
          <w:szCs w:val="24"/>
        </w:rPr>
      </w:pPr>
      <w:r>
        <w:br w:type="column"/>
      </w:r>
      <w:r>
        <w:rPr>
          <w:spacing w:val="-10"/>
          <w:w w:val="105"/>
          <w:sz w:val="24"/>
          <w:szCs w:val="24"/>
        </w:rPr>
        <w:t>)</w:t>
      </w:r>
    </w:p>
    <w:p>
      <w:pPr>
        <w:pStyle w:val="Normal"/>
        <w:spacing w:before="19" w:after="0"/>
        <w:rPr>
          <w:sz w:val="24"/>
          <w:szCs w:val="24"/>
        </w:rPr>
      </w:pPr>
      <w:r>
        <w:rPr>
          <w:w w:val="106"/>
          <w:sz w:val="24"/>
          <w:szCs w:val="24"/>
        </w:rPr>
        <w:t>)</w:t>
      </w:r>
    </w:p>
    <w:p>
      <w:pPr>
        <w:pStyle w:val="Normal"/>
        <w:spacing w:before="20" w:after="0"/>
        <w:rPr>
          <w:sz w:val="24"/>
          <w:szCs w:val="24"/>
        </w:rPr>
      </w:pPr>
      <w:r>
        <w:rPr>
          <w:w w:val="106"/>
          <w:sz w:val="24"/>
          <w:szCs w:val="24"/>
        </w:rPr>
        <w:t>)</w:t>
      </w:r>
    </w:p>
    <w:p>
      <w:pPr>
        <w:pStyle w:val="Normal"/>
        <w:spacing w:before="21" w:after="0"/>
        <w:rPr>
          <w:sz w:val="24"/>
          <w:szCs w:val="24"/>
        </w:rPr>
      </w:pPr>
      <w:r>
        <w:rPr>
          <w:w w:val="106"/>
          <w:sz w:val="24"/>
          <w:szCs w:val="24"/>
        </w:rPr>
        <w:t>)</w:t>
      </w:r>
    </w:p>
    <w:p>
      <w:pPr>
        <w:pStyle w:val="TextBody"/>
        <w:tabs>
          <w:tab w:val="clear" w:pos="720"/>
          <w:tab w:val="left" w:pos="417" w:leader="none"/>
        </w:tabs>
        <w:spacing w:before="21" w:after="0"/>
        <w:rPr>
          <w:sz w:val="24"/>
          <w:szCs w:val="24"/>
        </w:rPr>
      </w:pPr>
      <w:r>
        <w:rPr>
          <w:spacing w:val="-10"/>
          <w:w w:val="110"/>
          <w:sz w:val="24"/>
          <w:szCs w:val="24"/>
        </w:rPr>
        <w:t>)</w:t>
      </w:r>
      <w:r>
        <w:rPr>
          <w:sz w:val="24"/>
          <w:szCs w:val="24"/>
        </w:rPr>
        <w:tab/>
      </w:r>
      <w:r>
        <w:rPr>
          <w:w w:val="110"/>
          <w:sz w:val="24"/>
          <w:szCs w:val="24"/>
        </w:rPr>
        <w:t>CASE</w:t>
      </w:r>
      <w:r>
        <w:rPr>
          <w:spacing w:val="-3"/>
          <w:w w:val="110"/>
          <w:sz w:val="24"/>
          <w:szCs w:val="24"/>
        </w:rPr>
        <w:t xml:space="preserve"> </w:t>
      </w:r>
      <w:r>
        <w:rPr>
          <w:w w:val="110"/>
          <w:sz w:val="24"/>
          <w:szCs w:val="24"/>
        </w:rPr>
        <w:t>NO.</w:t>
      </w:r>
      <w:r>
        <w:rPr>
          <w:spacing w:val="-15"/>
          <w:w w:val="110"/>
          <w:sz w:val="24"/>
          <w:szCs w:val="24"/>
        </w:rPr>
        <w:t xml:space="preserve"> </w:t>
      </w:r>
      <w:r>
        <w:rPr>
          <w:spacing w:val="-2"/>
          <w:w w:val="110"/>
          <w:sz w:val="24"/>
          <w:szCs w:val="24"/>
        </w:rPr>
        <w:t>2022L010905</w:t>
      </w:r>
    </w:p>
    <w:p>
      <w:pPr>
        <w:pStyle w:val="Normal"/>
        <w:spacing w:before="11" w:after="0"/>
        <w:rPr>
          <w:sz w:val="24"/>
          <w:szCs w:val="24"/>
        </w:rPr>
      </w:pPr>
      <w:r>
        <w:rPr>
          <w:w w:val="107"/>
          <w:sz w:val="24"/>
          <w:szCs w:val="24"/>
        </w:rPr>
        <w:t>)</w:t>
      </w:r>
    </w:p>
    <w:p>
      <w:pPr>
        <w:pStyle w:val="Normal"/>
        <w:spacing w:before="26" w:after="0"/>
        <w:rPr>
          <w:sz w:val="24"/>
          <w:szCs w:val="24"/>
        </w:rPr>
      </w:pPr>
      <w:r>
        <w:rPr>
          <w:w w:val="107"/>
          <w:sz w:val="24"/>
          <w:szCs w:val="24"/>
        </w:rPr>
        <w:t>)</w:t>
      </w:r>
    </w:p>
    <w:p>
      <w:pPr>
        <w:pStyle w:val="Normal"/>
        <w:spacing w:before="7" w:after="0"/>
        <w:rPr>
          <w:sz w:val="24"/>
          <w:szCs w:val="24"/>
        </w:rPr>
      </w:pPr>
      <w:r>
        <w:rPr>
          <w:w w:val="107"/>
          <w:sz w:val="24"/>
          <w:szCs w:val="24"/>
        </w:rPr>
        <w:t>)</w:t>
      </w:r>
    </w:p>
    <w:p>
      <w:pPr>
        <w:pStyle w:val="Normal"/>
        <w:spacing w:before="9" w:after="0"/>
        <w:rPr>
          <w:sz w:val="24"/>
          <w:szCs w:val="24"/>
        </w:rPr>
      </w:pPr>
      <w:r>
        <w:rPr>
          <w:w w:val="107"/>
          <w:sz w:val="24"/>
          <w:szCs w:val="24"/>
        </w:rPr>
        <w:t>)</w:t>
      </w:r>
    </w:p>
    <w:p>
      <w:pPr>
        <w:pStyle w:val="Normal"/>
        <w:spacing w:before="19" w:after="0"/>
        <w:rPr>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pStyle w:val="Normal"/>
        <w:spacing w:before="21" w:after="0"/>
        <w:rPr>
          <w:w w:val="107"/>
          <w:sz w:val="24"/>
          <w:szCs w:val="24"/>
        </w:rPr>
      </w:pPr>
      <w:r>
        <w:rPr>
          <w:w w:val="107"/>
          <w:sz w:val="24"/>
          <w:szCs w:val="24"/>
        </w:rPr>
        <w:t>)</w:t>
      </w:r>
    </w:p>
    <w:p>
      <w:pPr>
        <w:sectPr>
          <w:type w:val="continuous"/>
          <w:pgSz w:w="11906" w:h="15700"/>
          <w:pgMar w:left="1320" w:right="1680" w:header="0" w:top="1800" w:footer="720" w:bottom="777" w:gutter="0"/>
          <w:cols w:num="2" w:equalWidth="false" w:sep="false">
            <w:col w:w="4499" w:space="304"/>
            <w:col w:w="4102"/>
          </w:cols>
          <w:formProt w:val="false"/>
          <w:textDirection w:val="lrTb"/>
          <w:docGrid w:type="default" w:linePitch="100" w:charSpace="8192"/>
        </w:sectPr>
      </w:pPr>
    </w:p>
    <w:p>
      <w:pPr>
        <w:pStyle w:val="TextBody"/>
        <w:spacing w:before="91" w:after="0"/>
        <w:ind w:firstLine="720"/>
        <w:rPr>
          <w:bCs/>
          <w:spacing w:val="-2"/>
          <w:w w:val="110"/>
          <w:sz w:val="24"/>
          <w:szCs w:val="24"/>
        </w:rPr>
      </w:pPr>
      <w:r>
        <w:rPr>
          <w:bCs/>
          <w:spacing w:val="-2"/>
          <w:w w:val="110"/>
          <w:sz w:val="24"/>
          <w:szCs w:val="24"/>
        </w:rPr>
        <w:t>NOW COMES the Plaintiffs</w:t>
      </w:r>
      <w:r>
        <w:rPr>
          <w:b/>
          <w:spacing w:val="-2"/>
          <w:w w:val="110"/>
          <w:sz w:val="24"/>
          <w:szCs w:val="24"/>
        </w:rPr>
        <w:t xml:space="preserve"> </w:t>
      </w:r>
      <w:r>
        <w:rPr>
          <w:bCs/>
          <w:spacing w:val="-2"/>
          <w:w w:val="110"/>
          <w:sz w:val="24"/>
          <w:szCs w:val="24"/>
        </w:rPr>
        <w:t xml:space="preserve">PAUL R. DULBERG AND THE PAUL R. </w:t>
      </w:r>
    </w:p>
    <w:p>
      <w:pPr>
        <w:pStyle w:val="TextBody"/>
        <w:spacing w:before="91" w:after="0"/>
        <w:rPr>
          <w:bCs/>
          <w:spacing w:val="-2"/>
          <w:w w:val="110"/>
          <w:sz w:val="24"/>
          <w:szCs w:val="24"/>
        </w:rPr>
      </w:pPr>
      <w:r>
        <w:rPr>
          <w:bCs/>
          <w:spacing w:val="-2"/>
          <w:w w:val="110"/>
          <w:sz w:val="24"/>
          <w:szCs w:val="24"/>
        </w:rPr>
        <w:t xml:space="preserve">DULBERG REVOCABLE TRUST by and through their attorney, Alphonse A. </w:t>
      </w:r>
    </w:p>
    <w:p>
      <w:pPr>
        <w:pStyle w:val="TextBody"/>
        <w:spacing w:before="91" w:after="0"/>
        <w:rPr>
          <w:i/>
          <w:i/>
          <w:w w:val="105"/>
          <w:sz w:val="24"/>
          <w:szCs w:val="24"/>
        </w:rPr>
      </w:pPr>
      <w:r>
        <w:rPr>
          <w:bCs/>
          <w:spacing w:val="-2"/>
          <w:w w:val="110"/>
          <w:sz w:val="24"/>
          <w:szCs w:val="24"/>
        </w:rPr>
        <w:t xml:space="preserve">Talarico and for their  </w:t>
      </w:r>
      <w:r>
        <w:rPr>
          <w:spacing w:val="-2"/>
          <w:w w:val="110"/>
          <w:sz w:val="24"/>
          <w:szCs w:val="24"/>
        </w:rPr>
        <w:t>RESPONSE TO DEFENDANTS</w:t>
      </w:r>
      <w:r>
        <w:rPr>
          <w:w w:val="105"/>
          <w:sz w:val="24"/>
          <w:szCs w:val="24"/>
        </w:rPr>
        <w:t xml:space="preserve"> KELLY N. BAUDIN</w:t>
      </w:r>
      <w:r>
        <w:rPr>
          <w:spacing w:val="40"/>
          <w:w w:val="105"/>
          <w:sz w:val="24"/>
          <w:szCs w:val="24"/>
        </w:rPr>
        <w:t xml:space="preserve"> </w:t>
      </w:r>
      <w:r>
        <w:rPr>
          <w:i/>
          <w:w w:val="105"/>
          <w:sz w:val="24"/>
          <w:szCs w:val="24"/>
        </w:rPr>
        <w:t>A/KI</w:t>
      </w:r>
    </w:p>
    <w:p>
      <w:pPr>
        <w:pStyle w:val="TextBody"/>
        <w:spacing w:before="91" w:after="0"/>
        <w:rPr>
          <w:w w:val="105"/>
          <w:sz w:val="24"/>
          <w:szCs w:val="24"/>
        </w:rPr>
      </w:pPr>
      <w:r>
        <w:rPr>
          <w:i/>
          <w:w w:val="105"/>
          <w:sz w:val="24"/>
          <w:szCs w:val="24"/>
        </w:rPr>
        <w:t xml:space="preserve">A </w:t>
      </w:r>
      <w:r>
        <w:rPr>
          <w:w w:val="105"/>
          <w:sz w:val="24"/>
          <w:szCs w:val="24"/>
        </w:rPr>
        <w:t>BAUDIN &amp; BAUDIN, BAUDIN &amp; BAUDIN AN ASSOCIATION OF ATTORNEYS,</w:t>
      </w:r>
    </w:p>
    <w:p>
      <w:pPr>
        <w:pStyle w:val="TextBody"/>
        <w:spacing w:before="91" w:after="0"/>
        <w:rPr>
          <w:w w:val="105"/>
          <w:sz w:val="24"/>
          <w:szCs w:val="24"/>
        </w:rPr>
      </w:pPr>
      <w:r>
        <w:rPr>
          <w:w w:val="105"/>
          <w:sz w:val="24"/>
          <w:szCs w:val="24"/>
        </w:rPr>
        <w:t xml:space="preserve"> </w:t>
      </w:r>
      <w:r>
        <w:rPr>
          <w:w w:val="105"/>
          <w:sz w:val="24"/>
          <w:szCs w:val="24"/>
        </w:rPr>
        <w:t>LAW OFFICES</w:t>
      </w:r>
      <w:r>
        <w:rPr>
          <w:spacing w:val="40"/>
          <w:w w:val="105"/>
          <w:sz w:val="24"/>
          <w:szCs w:val="24"/>
        </w:rPr>
        <w:t xml:space="preserve"> </w:t>
      </w:r>
      <w:r>
        <w:rPr>
          <w:w w:val="105"/>
          <w:sz w:val="24"/>
          <w:szCs w:val="24"/>
        </w:rPr>
        <w:t>OF</w:t>
      </w:r>
      <w:r>
        <w:rPr>
          <w:spacing w:val="40"/>
          <w:w w:val="105"/>
          <w:sz w:val="24"/>
          <w:szCs w:val="24"/>
        </w:rPr>
        <w:t xml:space="preserve"> </w:t>
      </w:r>
      <w:r>
        <w:rPr>
          <w:w w:val="105"/>
          <w:sz w:val="24"/>
          <w:szCs w:val="24"/>
        </w:rPr>
        <w:t>BAUDIN</w:t>
      </w:r>
      <w:r>
        <w:rPr>
          <w:spacing w:val="40"/>
          <w:w w:val="105"/>
          <w:sz w:val="24"/>
          <w:szCs w:val="24"/>
        </w:rPr>
        <w:t xml:space="preserve"> </w:t>
      </w:r>
      <w:r>
        <w:rPr>
          <w:w w:val="105"/>
          <w:sz w:val="24"/>
          <w:szCs w:val="24"/>
        </w:rPr>
        <w:t xml:space="preserve">&amp; BAUDIN,  BAUDIN &amp; BAUDIN LAW OFFICES, </w:t>
      </w:r>
    </w:p>
    <w:p>
      <w:pPr>
        <w:pStyle w:val="TextBody"/>
        <w:spacing w:before="91" w:after="0"/>
        <w:rPr>
          <w:w w:val="105"/>
          <w:sz w:val="24"/>
          <w:szCs w:val="24"/>
        </w:rPr>
      </w:pPr>
      <w:r>
        <w:rPr>
          <w:w w:val="105"/>
          <w:sz w:val="24"/>
          <w:szCs w:val="24"/>
        </w:rPr>
        <w:t xml:space="preserve">WILLIAM RANDAL BAUDIN II </w:t>
      </w:r>
      <w:r>
        <w:rPr>
          <w:i/>
          <w:w w:val="105"/>
          <w:sz w:val="24"/>
          <w:szCs w:val="24"/>
        </w:rPr>
        <w:t>A/K/</w:t>
      </w:r>
      <w:r>
        <w:rPr>
          <w:i/>
          <w:spacing w:val="-7"/>
          <w:w w:val="105"/>
          <w:sz w:val="24"/>
          <w:szCs w:val="24"/>
        </w:rPr>
        <w:t xml:space="preserve"> </w:t>
      </w:r>
      <w:r>
        <w:rPr>
          <w:w w:val="105"/>
          <w:sz w:val="24"/>
          <w:szCs w:val="24"/>
        </w:rPr>
        <w:t>A BAUDIN &amp; BAUDIN, BAUDIN &amp; BAUDIN</w:t>
      </w:r>
    </w:p>
    <w:p>
      <w:pPr>
        <w:pStyle w:val="TextBody"/>
        <w:spacing w:before="91" w:after="0"/>
        <w:rPr>
          <w:w w:val="105"/>
          <w:sz w:val="24"/>
          <w:szCs w:val="24"/>
        </w:rPr>
      </w:pPr>
      <w:r>
        <w:rPr>
          <w:w w:val="105"/>
          <w:sz w:val="24"/>
          <w:szCs w:val="24"/>
        </w:rPr>
        <w:t xml:space="preserve"> </w:t>
      </w:r>
      <w:r>
        <w:rPr>
          <w:w w:val="105"/>
          <w:sz w:val="24"/>
          <w:szCs w:val="24"/>
        </w:rPr>
        <w:t>AN ASSOCIATION</w:t>
      </w:r>
      <w:r>
        <w:rPr>
          <w:spacing w:val="40"/>
          <w:w w:val="105"/>
          <w:sz w:val="24"/>
          <w:szCs w:val="24"/>
        </w:rPr>
        <w:t xml:space="preserve"> </w:t>
      </w:r>
      <w:r>
        <w:rPr>
          <w:w w:val="105"/>
          <w:sz w:val="24"/>
          <w:szCs w:val="24"/>
        </w:rPr>
        <w:t>OF ATTORNEYS, LAW OFFICES</w:t>
      </w:r>
      <w:r>
        <w:rPr>
          <w:spacing w:val="40"/>
          <w:w w:val="105"/>
          <w:sz w:val="24"/>
          <w:szCs w:val="24"/>
        </w:rPr>
        <w:t xml:space="preserve"> </w:t>
      </w:r>
      <w:r>
        <w:rPr>
          <w:w w:val="105"/>
          <w:sz w:val="24"/>
          <w:szCs w:val="24"/>
        </w:rPr>
        <w:t>OF BAUDIN</w:t>
      </w:r>
      <w:r>
        <w:rPr>
          <w:spacing w:val="40"/>
          <w:w w:val="105"/>
          <w:sz w:val="24"/>
          <w:szCs w:val="24"/>
        </w:rPr>
        <w:t xml:space="preserve"> </w:t>
      </w:r>
      <w:r>
        <w:rPr>
          <w:w w:val="105"/>
          <w:sz w:val="24"/>
          <w:szCs w:val="24"/>
        </w:rPr>
        <w:t>&amp;</w:t>
      </w:r>
      <w:r>
        <w:rPr>
          <w:spacing w:val="40"/>
          <w:w w:val="105"/>
          <w:sz w:val="24"/>
          <w:szCs w:val="24"/>
        </w:rPr>
        <w:t xml:space="preserve"> </w:t>
      </w:r>
      <w:r>
        <w:rPr>
          <w:w w:val="105"/>
          <w:sz w:val="24"/>
          <w:szCs w:val="24"/>
        </w:rPr>
        <w:t>BAUDIN,</w:t>
      </w:r>
    </w:p>
    <w:p>
      <w:pPr>
        <w:pStyle w:val="TextBody"/>
        <w:spacing w:before="91" w:after="0"/>
        <w:rPr>
          <w:w w:val="105"/>
          <w:sz w:val="24"/>
          <w:szCs w:val="24"/>
        </w:rPr>
      </w:pPr>
      <w:r>
        <w:rPr>
          <w:w w:val="105"/>
          <w:sz w:val="24"/>
          <w:szCs w:val="24"/>
        </w:rPr>
        <w:t xml:space="preserve"> </w:t>
      </w:r>
      <w:r>
        <w:rPr>
          <w:w w:val="105"/>
          <w:sz w:val="24"/>
          <w:szCs w:val="24"/>
        </w:rPr>
        <w:t xml:space="preserve">BAUDIN &amp; BAUDIN LAW OFFICES, KELRAN, INC </w:t>
      </w:r>
      <w:r>
        <w:rPr>
          <w:i/>
          <w:w w:val="105"/>
          <w:sz w:val="24"/>
          <w:szCs w:val="24"/>
        </w:rPr>
        <w:t xml:space="preserve">AIK/A </w:t>
      </w:r>
      <w:r>
        <w:rPr>
          <w:w w:val="105"/>
          <w:sz w:val="24"/>
          <w:szCs w:val="24"/>
        </w:rPr>
        <w:t>THE BAUDIN LAW</w:t>
      </w:r>
    </w:p>
    <w:p>
      <w:pPr>
        <w:pStyle w:val="TextBody"/>
        <w:spacing w:before="91" w:after="0"/>
        <w:rPr>
          <w:spacing w:val="-2"/>
          <w:w w:val="110"/>
          <w:sz w:val="24"/>
          <w:szCs w:val="24"/>
        </w:rPr>
      </w:pPr>
      <w:r>
        <w:rPr>
          <w:w w:val="105"/>
          <w:sz w:val="24"/>
          <w:szCs w:val="24"/>
        </w:rPr>
        <w:t xml:space="preserve"> </w:t>
      </w:r>
      <w:r>
        <w:rPr>
          <w:w w:val="105"/>
          <w:sz w:val="24"/>
          <w:szCs w:val="24"/>
        </w:rPr>
        <w:t>GROUP, Ltd</w:t>
      </w:r>
      <w:r>
        <w:rPr>
          <w:spacing w:val="-2"/>
          <w:w w:val="110"/>
          <w:sz w:val="24"/>
          <w:szCs w:val="24"/>
        </w:rPr>
        <w:t>.’s SECTION 2-619.1 MOTION TO DISMISS states as follows:</w:t>
      </w:r>
    </w:p>
    <w:p>
      <w:pPr>
        <w:pStyle w:val="TextBody"/>
        <w:spacing w:before="91" w:after="0"/>
        <w:rPr>
          <w:spacing w:val="-2"/>
          <w:w w:val="110"/>
          <w:sz w:val="24"/>
          <w:szCs w:val="24"/>
        </w:rPr>
      </w:pPr>
      <w:r>
        <w:rPr>
          <w:spacing w:val="-2"/>
          <w:w w:val="110"/>
          <w:sz w:val="24"/>
          <w:szCs w:val="24"/>
        </w:rPr>
      </w:r>
    </w:p>
    <w:p>
      <w:pPr>
        <w:pStyle w:val="TextBody"/>
        <w:spacing w:before="91" w:after="0"/>
        <w:rPr>
          <w:b/>
          <w:b/>
          <w:bCs/>
          <w:spacing w:val="-2"/>
          <w:w w:val="110"/>
          <w:sz w:val="24"/>
          <w:szCs w:val="24"/>
        </w:rPr>
      </w:pPr>
      <w:r>
        <w:rPr>
          <w:b/>
          <w:bCs/>
          <w:spacing w:val="-2"/>
          <w:w w:val="110"/>
          <w:sz w:val="24"/>
          <w:szCs w:val="24"/>
        </w:rPr>
      </w:r>
    </w:p>
    <w:p>
      <w:pPr>
        <w:pStyle w:val="TextBody"/>
        <w:spacing w:before="91" w:after="0"/>
        <w:rPr>
          <w:b/>
          <w:b/>
          <w:spacing w:val="-2"/>
          <w:w w:val="110"/>
          <w:sz w:val="24"/>
          <w:szCs w:val="24"/>
        </w:rPr>
      </w:pPr>
      <w:r>
        <w:rPr>
          <w:b/>
          <w:spacing w:val="-2"/>
          <w:w w:val="110"/>
          <w:sz w:val="24"/>
          <w:szCs w:val="24"/>
        </w:rPr>
        <mc:AlternateContent>
          <mc:Choice Requires="wps">
            <w:drawing>
              <wp:anchor behindDoc="0" distT="0" distB="0" distL="0" distR="0" simplePos="0" locked="0" layoutInCell="0" allowOverlap="1" relativeHeight="2" wp14:anchorId="5295C8F3">
                <wp:simplePos x="0" y="0"/>
                <wp:positionH relativeFrom="page">
                  <wp:posOffset>-19050</wp:posOffset>
                </wp:positionH>
                <wp:positionV relativeFrom="paragraph">
                  <wp:posOffset>351155</wp:posOffset>
                </wp:positionV>
                <wp:extent cx="189865" cy="1840230"/>
                <wp:effectExtent l="0" t="0" r="2540" b="9525"/>
                <wp:wrapNone/>
                <wp:docPr id="1" name="Text Box 1"/>
                <a:graphic xmlns:a="http://schemas.openxmlformats.org/drawingml/2006/main">
                  <a:graphicData uri="http://schemas.microsoft.com/office/word/2010/wordprocessingShape">
                    <wps:wsp>
                      <wps:cNvSpPr/>
                      <wps:spPr>
                        <a:xfrm>
                          <a:off x="0" y="0"/>
                          <a:ext cx="189360" cy="1839600"/>
                        </a:xfrm>
                        <a:prstGeom prst="rect">
                          <a:avLst/>
                        </a:prstGeom>
                        <a:noFill/>
                        <a:ln w="0">
                          <a:noFill/>
                        </a:ln>
                      </wps:spPr>
                      <wps:style>
                        <a:lnRef idx="0"/>
                        <a:fillRef idx="0"/>
                        <a:effectRef idx="0"/>
                        <a:fontRef idx="minor"/>
                      </wps:style>
                      <wps:txbx>
                        <w:txbxContent>
                          <w:p>
                            <w:pPr>
                              <w:pStyle w:val="FrameContents"/>
                              <w:rPr>
                                <w:color w:val="000000"/>
                              </w:rPr>
                            </w:pPr>
                            <w:r>
                              <w:rPr/>
                            </w:r>
                          </w:p>
                        </w:txbxContent>
                      </wps:txbx>
                      <wps:bodyPr lIns="0" rIns="0" tIns="0" bIns="0" vert="vert270" upright="1">
                        <a:noAutofit/>
                      </wps:bodyPr>
                    </wps:wsp>
                  </a:graphicData>
                </a:graphic>
              </wp:anchor>
            </w:drawing>
          </mc:Choice>
          <mc:Fallback>
            <w:pict>
              <v:rect id="shape_0" ID="Text Box 1" path="m0,0l-2147483645,0l-2147483645,-2147483646l0,-2147483646xe" stroked="f" style="position:absolute;margin-left:-1.5pt;margin-top:27.65pt;width:14.85pt;height:144.8pt;mso-wrap-style:none;v-text-anchor:middle;mso-position-horizontal-relative:page" wp14:anchorId="5295C8F3">
                <v:fill o:detectmouseclick="t" on="false"/>
                <v:stroke color="#3465a4" joinstyle="round" endcap="flat"/>
                <v:textbox style="mso-layout-flow-alt:bottom-to-top">
                  <w:txbxContent>
                    <w:p>
                      <w:pPr>
                        <w:pStyle w:val="FrameContents"/>
                        <w:rPr>
                          <w:color w:val="000000"/>
                        </w:rPr>
                      </w:pPr>
                      <w:r>
                        <w:rPr/>
                      </w:r>
                    </w:p>
                  </w:txbxContent>
                </v:textbox>
                <w10:wrap type="none"/>
              </v:rect>
            </w:pict>
          </mc:Fallback>
        </mc:AlternateContent>
      </w:r>
    </w:p>
    <w:p>
      <w:pPr>
        <w:pStyle w:val="TextBody"/>
        <w:numPr>
          <w:ilvl w:val="0"/>
          <w:numId w:val="2"/>
        </w:numPr>
        <w:spacing w:before="91" w:after="0"/>
        <w:rPr>
          <w:b/>
          <w:b/>
          <w:spacing w:val="-2"/>
          <w:w w:val="110"/>
          <w:sz w:val="24"/>
          <w:szCs w:val="24"/>
        </w:rPr>
      </w:pPr>
      <w:bookmarkStart w:id="1" w:name="I.__Plaintiff’s_claims_against_the_Baudi"/>
      <w:bookmarkEnd w:id="1"/>
      <w:r>
        <w:rPr>
          <w:b/>
          <w:spacing w:val="-2"/>
          <w:w w:val="110"/>
          <w:sz w:val="24"/>
          <w:szCs w:val="24"/>
        </w:rPr>
        <w:t>PLAINTIFFS’ RESPONSE TO DEFENDANTS’  (FIRST) ARGUMENT THAT PLAINTIFFS’ CLAIMS AGAINST THE BAUDIN DEFENDANTS SHOULD BE DISMISSED PURSUANT TO 735 ILCS 5/2-619(A)(9) BECAUSE THE PLAINTIFFS COULD NOT HAVE SUSTAINED A PECUNIARY DAMAGE AS A PROXIMATE RESULT OF THE HANDLING OF THE PERSONAL INJURY CLAIM WHERE THE PERSONAL INJURY CLAIM WAS OWNED AND CONTROLLED BY THE BANKRUPTCY ESTATE, NOT THE PLAINTIFF.</w:t>
      </w:r>
    </w:p>
    <w:p>
      <w:pPr>
        <w:pStyle w:val="TextBody"/>
        <w:spacing w:before="91" w:after="0"/>
        <w:rPr>
          <w:bCs/>
          <w:spacing w:val="-2"/>
          <w:w w:val="110"/>
          <w:sz w:val="24"/>
          <w:szCs w:val="24"/>
        </w:rPr>
      </w:pPr>
      <w:r>
        <w:rPr>
          <w:bCs/>
          <w:spacing w:val="-2"/>
          <w:w w:val="110"/>
          <w:sz w:val="24"/>
          <w:szCs w:val="24"/>
        </w:rPr>
      </w:r>
    </w:p>
    <w:p>
      <w:pPr>
        <w:pStyle w:val="Normal"/>
        <w:rPr>
          <w:sz w:val="24"/>
          <w:szCs w:val="24"/>
        </w:rPr>
      </w:pPr>
      <w:r>
        <w:rPr>
          <w:sz w:val="24"/>
          <w:szCs w:val="24"/>
        </w:rPr>
        <w:t>1.  The Baudin Defendants stated, "When he (Dulberg) exchanged his prospective right to</w:t>
      </w:r>
    </w:p>
    <w:p>
      <w:pPr>
        <w:pStyle w:val="Normal"/>
        <w:rPr>
          <w:sz w:val="24"/>
          <w:szCs w:val="24"/>
        </w:rPr>
      </w:pPr>
      <w:r>
        <w:rPr>
          <w:sz w:val="24"/>
          <w:szCs w:val="24"/>
        </w:rPr>
      </w:r>
    </w:p>
    <w:p>
      <w:pPr>
        <w:pStyle w:val="Normal"/>
        <w:rPr>
          <w:sz w:val="24"/>
          <w:szCs w:val="24"/>
        </w:rPr>
      </w:pPr>
      <w:r>
        <w:rPr>
          <w:sz w:val="24"/>
          <w:szCs w:val="24"/>
        </w:rPr>
        <w:t>pursue the Personal Injury Claim for bankruptcy protection, Plaintiff lost the ability to control</w:t>
      </w:r>
    </w:p>
    <w:p>
      <w:pPr>
        <w:pStyle w:val="Normal"/>
        <w:rPr>
          <w:sz w:val="24"/>
          <w:szCs w:val="24"/>
        </w:rPr>
      </w:pPr>
      <w:r>
        <w:rPr>
          <w:sz w:val="24"/>
          <w:szCs w:val="24"/>
        </w:rPr>
      </w:r>
    </w:p>
    <w:p>
      <w:pPr>
        <w:pStyle w:val="Normal"/>
        <w:rPr>
          <w:sz w:val="24"/>
          <w:szCs w:val="24"/>
        </w:rPr>
      </w:pPr>
      <w:r>
        <w:rPr>
          <w:sz w:val="24"/>
          <w:szCs w:val="24"/>
        </w:rPr>
        <w:t>the prosecution of the Personal Injury claim, either individually or through counsel."  But at</w:t>
      </w:r>
    </w:p>
    <w:p>
      <w:pPr>
        <w:pStyle w:val="Normal"/>
        <w:rPr>
          <w:sz w:val="24"/>
          <w:szCs w:val="24"/>
        </w:rPr>
      </w:pPr>
      <w:r>
        <w:rPr>
          <w:sz w:val="24"/>
          <w:szCs w:val="24"/>
        </w:rPr>
      </w:r>
    </w:p>
    <w:p>
      <w:pPr>
        <w:pStyle w:val="Normal"/>
        <w:rPr>
          <w:sz w:val="24"/>
          <w:szCs w:val="24"/>
        </w:rPr>
      </w:pPr>
      <w:r>
        <w:rPr>
          <w:bCs/>
          <w:spacing w:val="-2"/>
          <w:w w:val="110"/>
          <w:sz w:val="24"/>
          <w:szCs w:val="24"/>
        </w:rPr>
        <w:t xml:space="preserve">the same time an automatic stay went into effect on the Personal Injury case.  “In addition </w:t>
      </w:r>
    </w:p>
    <w:p>
      <w:pPr>
        <w:pStyle w:val="Normal"/>
        <w:rPr>
          <w:bCs/>
          <w:spacing w:val="-2"/>
          <w:w w:val="110"/>
        </w:rPr>
      </w:pPr>
      <w:r>
        <w:rPr>
          <w:bCs/>
          <w:spacing w:val="-2"/>
          <w:w w:val="110"/>
        </w:rPr>
      </w:r>
    </w:p>
    <w:p>
      <w:pPr>
        <w:pStyle w:val="Normal"/>
        <w:rPr>
          <w:sz w:val="24"/>
          <w:szCs w:val="24"/>
        </w:rPr>
      </w:pPr>
      <w:r>
        <w:rPr>
          <w:bCs/>
          <w:spacing w:val="-2"/>
          <w:w w:val="110"/>
          <w:sz w:val="24"/>
          <w:szCs w:val="24"/>
        </w:rPr>
        <w:t>to creating a bankruptcy estate, the filing of a bankruptcy petition operates to stay all</w:t>
      </w:r>
    </w:p>
    <w:p>
      <w:pPr>
        <w:pStyle w:val="Normal"/>
        <w:rPr>
          <w:bCs/>
          <w:spacing w:val="-2"/>
          <w:w w:val="110"/>
        </w:rPr>
      </w:pPr>
      <w:r>
        <w:rPr>
          <w:bCs/>
          <w:spacing w:val="-2"/>
          <w:w w:val="110"/>
        </w:rPr>
      </w:r>
    </w:p>
    <w:p>
      <w:pPr>
        <w:pStyle w:val="Normal"/>
        <w:rPr>
          <w:sz w:val="24"/>
          <w:szCs w:val="24"/>
        </w:rPr>
      </w:pPr>
      <w:r>
        <w:rPr>
          <w:bCs/>
          <w:spacing w:val="-2"/>
          <w:w w:val="110"/>
          <w:sz w:val="24"/>
          <w:szCs w:val="24"/>
        </w:rPr>
        <w:t>actions, whether judicial or private, that seek to obtain possession of property of the estate</w:t>
      </w:r>
    </w:p>
    <w:p>
      <w:pPr>
        <w:pStyle w:val="Normal"/>
        <w:rPr>
          <w:bCs/>
          <w:spacing w:val="-2"/>
          <w:w w:val="110"/>
        </w:rPr>
      </w:pPr>
      <w:r>
        <w:rPr>
          <w:bCs/>
          <w:spacing w:val="-2"/>
          <w:w w:val="110"/>
        </w:rPr>
      </w:r>
    </w:p>
    <w:p>
      <w:pPr>
        <w:pStyle w:val="Normal"/>
        <w:rPr>
          <w:sz w:val="24"/>
          <w:szCs w:val="24"/>
        </w:rPr>
      </w:pPr>
      <w:r>
        <w:rPr>
          <w:bCs/>
          <w:spacing w:val="-2"/>
          <w:w w:val="110"/>
          <w:sz w:val="24"/>
          <w:szCs w:val="24"/>
        </w:rPr>
        <w:t xml:space="preserve">or of property from the estate or to exercise control over property of the estate.” See 11 </w:t>
      </w:r>
    </w:p>
    <w:p>
      <w:pPr>
        <w:pStyle w:val="Normal"/>
        <w:rPr>
          <w:bCs/>
          <w:spacing w:val="-2"/>
          <w:w w:val="110"/>
        </w:rPr>
      </w:pPr>
      <w:r>
        <w:rPr>
          <w:bCs/>
          <w:spacing w:val="-2"/>
          <w:w w:val="110"/>
        </w:rPr>
      </w:r>
    </w:p>
    <w:p>
      <w:pPr>
        <w:pStyle w:val="Normal"/>
        <w:rPr>
          <w:bCs/>
          <w:spacing w:val="-2"/>
          <w:w w:val="110"/>
          <w:sz w:val="24"/>
          <w:szCs w:val="24"/>
        </w:rPr>
      </w:pPr>
      <w:r>
        <w:rPr>
          <w:bCs/>
          <w:spacing w:val="-2"/>
          <w:w w:val="110"/>
          <w:sz w:val="24"/>
          <w:szCs w:val="24"/>
        </w:rPr>
        <w:t>U.S.C. § 362(a)(3</w:t>
      </w:r>
      <w:bookmarkStart w:id="2" w:name="_Hlk136855186"/>
      <w:r>
        <w:rPr>
          <w:bCs/>
          <w:spacing w:val="-2"/>
          <w:w w:val="110"/>
          <w:sz w:val="24"/>
          <w:szCs w:val="24"/>
        </w:rPr>
        <w:t xml:space="preserve">); </w:t>
      </w:r>
      <w:bookmarkStart w:id="3" w:name="_Hlk136855442"/>
      <w:r>
        <w:rPr>
          <w:b/>
          <w:i/>
          <w:iCs/>
          <w:spacing w:val="-2"/>
          <w:w w:val="110"/>
          <w:sz w:val="24"/>
          <w:szCs w:val="24"/>
        </w:rPr>
        <w:t>In re Enyedi, 371 B.R. 327, 333 (N.D. Ill. 2007)</w:t>
      </w:r>
      <w:r>
        <w:rPr>
          <w:bCs/>
          <w:spacing w:val="-2"/>
          <w:w w:val="110"/>
          <w:sz w:val="24"/>
          <w:szCs w:val="24"/>
        </w:rPr>
        <w:t xml:space="preserve"> </w:t>
      </w:r>
      <w:bookmarkEnd w:id="3"/>
      <w:r>
        <w:rPr>
          <w:bCs/>
          <w:spacing w:val="-2"/>
          <w:w w:val="110"/>
          <w:sz w:val="24"/>
          <w:szCs w:val="24"/>
        </w:rPr>
        <w:t xml:space="preserve"> </w:t>
      </w:r>
      <w:bookmarkEnd w:id="2"/>
      <w:r>
        <w:rPr>
          <w:bCs/>
          <w:spacing w:val="-2"/>
          <w:w w:val="110"/>
          <w:sz w:val="24"/>
          <w:szCs w:val="24"/>
        </w:rPr>
        <w:t>The Baudin</w:t>
      </w:r>
    </w:p>
    <w:p>
      <w:pPr>
        <w:pStyle w:val="Normal"/>
        <w:rPr>
          <w:bCs/>
          <w:spacing w:val="-2"/>
          <w:w w:val="110"/>
          <w:sz w:val="24"/>
          <w:szCs w:val="24"/>
        </w:rPr>
      </w:pPr>
      <w:r>
        <w:rPr>
          <w:bCs/>
          <w:spacing w:val="-2"/>
          <w:w w:val="110"/>
          <w:sz w:val="24"/>
          <w:szCs w:val="24"/>
        </w:rPr>
      </w:r>
    </w:p>
    <w:p>
      <w:pPr>
        <w:pStyle w:val="Normal"/>
        <w:rPr>
          <w:sz w:val="24"/>
          <w:szCs w:val="24"/>
        </w:rPr>
      </w:pPr>
      <w:r>
        <w:rPr>
          <w:bCs/>
          <w:spacing w:val="-2"/>
          <w:w w:val="110"/>
          <w:sz w:val="24"/>
          <w:szCs w:val="24"/>
        </w:rPr>
        <w:t xml:space="preserve"> </w:t>
      </w:r>
      <w:r>
        <w:rPr>
          <w:bCs/>
          <w:spacing w:val="-2"/>
          <w:w w:val="110"/>
          <w:sz w:val="24"/>
          <w:szCs w:val="24"/>
        </w:rPr>
        <w:t>Defendants knew or should have known that Dulberg had no standing but</w:t>
      </w:r>
    </w:p>
    <w:p>
      <w:pPr>
        <w:pStyle w:val="Normal"/>
        <w:rPr>
          <w:bCs/>
          <w:spacing w:val="-2"/>
          <w:w w:val="110"/>
        </w:rPr>
      </w:pPr>
      <w:r>
        <w:rPr>
          <w:bCs/>
          <w:spacing w:val="-2"/>
          <w:w w:val="110"/>
        </w:rPr>
      </w:r>
    </w:p>
    <w:p>
      <w:pPr>
        <w:pStyle w:val="Normal"/>
        <w:rPr/>
      </w:pPr>
      <w:r>
        <w:rPr>
          <w:bCs/>
          <w:spacing w:val="-2"/>
          <w:w w:val="110"/>
          <w:sz w:val="24"/>
          <w:szCs w:val="24"/>
        </w:rPr>
        <w:t xml:space="preserve">signed a retainer with </w:t>
      </w:r>
      <w:r>
        <w:rPr>
          <w:sz w:val="24"/>
          <w:szCs w:val="24"/>
        </w:rPr>
        <w:t>Dulberg on September 22, 2015 and represented Dulberg up to when</w:t>
      </w:r>
    </w:p>
    <w:p>
      <w:pPr>
        <w:pStyle w:val="Normal"/>
        <w:rPr>
          <w:sz w:val="24"/>
          <w:szCs w:val="24"/>
        </w:rPr>
      </w:pPr>
      <w:r>
        <w:rPr>
          <w:sz w:val="24"/>
          <w:szCs w:val="24"/>
        </w:rPr>
      </w:r>
    </w:p>
    <w:p>
      <w:pPr>
        <w:pStyle w:val="Normal"/>
        <w:rPr>
          <w:bCs/>
          <w:spacing w:val="-2"/>
          <w:w w:val="110"/>
          <w:sz w:val="24"/>
          <w:szCs w:val="24"/>
        </w:rPr>
      </w:pPr>
      <w:r>
        <w:rPr>
          <w:sz w:val="24"/>
          <w:szCs w:val="24"/>
        </w:rPr>
        <w:t xml:space="preserve">they were first retained by the </w:t>
      </w:r>
      <w:r>
        <w:rPr>
          <w:sz w:val="24"/>
          <w:szCs w:val="24"/>
        </w:rPr>
        <w:t>T</w:t>
      </w:r>
      <w:r>
        <w:rPr>
          <w:sz w:val="24"/>
          <w:szCs w:val="24"/>
        </w:rPr>
        <w:t xml:space="preserve">rustee for the bankruptcy estate on October 31, 2016 </w:t>
      </w:r>
      <w:r>
        <w:rPr>
          <w:bCs/>
          <w:spacing w:val="-2"/>
          <w:w w:val="110"/>
          <w:sz w:val="24"/>
          <w:szCs w:val="24"/>
        </w:rPr>
        <w:t>in</w:t>
      </w:r>
    </w:p>
    <w:p>
      <w:pPr>
        <w:pStyle w:val="Normal"/>
        <w:rPr>
          <w:bCs/>
          <w:spacing w:val="-2"/>
          <w:w w:val="110"/>
          <w:sz w:val="24"/>
          <w:szCs w:val="24"/>
        </w:rPr>
      </w:pPr>
      <w:r>
        <w:rPr/>
      </w:r>
    </w:p>
    <w:p>
      <w:pPr>
        <w:pStyle w:val="Normal"/>
        <w:rPr>
          <w:bCs/>
          <w:spacing w:val="-2"/>
          <w:w w:val="110"/>
          <w:sz w:val="24"/>
          <w:szCs w:val="24"/>
        </w:rPr>
      </w:pPr>
      <w:r>
        <w:rPr>
          <w:bCs/>
          <w:spacing w:val="-2"/>
          <w:w w:val="110"/>
          <w:sz w:val="24"/>
          <w:szCs w:val="24"/>
        </w:rPr>
        <w:t xml:space="preserve">violation  of the  automatic stay.   While doing this  the Baudin Defendants repeatedly </w:t>
      </w:r>
    </w:p>
    <w:p>
      <w:pPr>
        <w:pStyle w:val="Normal"/>
        <w:rPr>
          <w:bCs/>
          <w:spacing w:val="-2"/>
          <w:w w:val="110"/>
          <w:sz w:val="24"/>
          <w:szCs w:val="24"/>
        </w:rPr>
      </w:pPr>
      <w:r>
        <w:rPr/>
      </w:r>
    </w:p>
    <w:p>
      <w:pPr>
        <w:pStyle w:val="Normal"/>
        <w:rPr>
          <w:bCs/>
          <w:spacing w:val="-2"/>
          <w:w w:val="110"/>
          <w:sz w:val="24"/>
          <w:szCs w:val="24"/>
        </w:rPr>
      </w:pPr>
      <w:r>
        <w:rPr>
          <w:bCs/>
          <w:spacing w:val="-2"/>
          <w:w w:val="110"/>
          <w:sz w:val="24"/>
          <w:szCs w:val="24"/>
        </w:rPr>
        <w:t xml:space="preserve">urged Dulberg to agree to binding mediation and helped craft an  ADR proposal for </w:t>
      </w:r>
    </w:p>
    <w:p>
      <w:pPr>
        <w:pStyle w:val="Normal"/>
        <w:rPr>
          <w:bCs/>
          <w:spacing w:val="-2"/>
          <w:w w:val="110"/>
          <w:sz w:val="24"/>
          <w:szCs w:val="24"/>
        </w:rPr>
      </w:pPr>
      <w:r>
        <w:rPr/>
      </w:r>
    </w:p>
    <w:p>
      <w:pPr>
        <w:pStyle w:val="Normal"/>
        <w:rPr>
          <w:bCs/>
          <w:spacing w:val="-2"/>
          <w:w w:val="110"/>
          <w:sz w:val="24"/>
          <w:szCs w:val="24"/>
        </w:rPr>
      </w:pPr>
      <w:r>
        <w:rPr>
          <w:bCs/>
          <w:spacing w:val="-2"/>
          <w:w w:val="110"/>
          <w:sz w:val="24"/>
          <w:szCs w:val="24"/>
        </w:rPr>
        <w:t>Dulberg to sign, which Dulberg refused to do.</w:t>
      </w:r>
    </w:p>
    <w:p>
      <w:pPr>
        <w:pStyle w:val="TextBody"/>
        <w:spacing w:before="91" w:after="0"/>
        <w:rPr>
          <w:bCs/>
          <w:spacing w:val="-2"/>
          <w:w w:val="110"/>
          <w:sz w:val="24"/>
          <w:szCs w:val="24"/>
        </w:rPr>
      </w:pPr>
      <w:r>
        <w:rPr>
          <w:bCs/>
          <w:spacing w:val="-2"/>
          <w:w w:val="110"/>
          <w:sz w:val="24"/>
          <w:szCs w:val="24"/>
        </w:rPr>
      </w:r>
    </w:p>
    <w:p>
      <w:pPr>
        <w:pStyle w:val="Normal"/>
        <w:rPr>
          <w:sz w:val="24"/>
          <w:szCs w:val="24"/>
        </w:rPr>
      </w:pPr>
      <w:r>
        <w:rPr>
          <w:sz w:val="24"/>
          <w:szCs w:val="24"/>
        </w:rPr>
        <w:t>2.  The Baudin Defendants stated, “Because property of the estate in custodia legis by virtue of</w:t>
      </w:r>
    </w:p>
    <w:p>
      <w:pPr>
        <w:pStyle w:val="Normal"/>
        <w:rPr>
          <w:sz w:val="24"/>
          <w:szCs w:val="24"/>
        </w:rPr>
      </w:pPr>
      <w:r>
        <w:rPr>
          <w:sz w:val="24"/>
          <w:szCs w:val="24"/>
        </w:rPr>
      </w:r>
    </w:p>
    <w:p>
      <w:pPr>
        <w:pStyle w:val="Normal"/>
        <w:rPr>
          <w:sz w:val="24"/>
          <w:szCs w:val="24"/>
        </w:rPr>
      </w:pPr>
      <w:r>
        <w:rPr>
          <w:sz w:val="24"/>
          <w:szCs w:val="24"/>
        </w:rPr>
        <w:t>the bankruptcy filing, it is administered exclusively by a specifically designated fiduciary, a</w:t>
      </w:r>
    </w:p>
    <w:p>
      <w:pPr>
        <w:pStyle w:val="Normal"/>
        <w:rPr>
          <w:sz w:val="24"/>
          <w:szCs w:val="24"/>
        </w:rPr>
      </w:pPr>
      <w:r>
        <w:rPr>
          <w:sz w:val="24"/>
          <w:szCs w:val="24"/>
        </w:rPr>
      </w:r>
    </w:p>
    <w:p>
      <w:pPr>
        <w:pStyle w:val="Normal"/>
        <w:rPr>
          <w:sz w:val="24"/>
          <w:szCs w:val="24"/>
        </w:rPr>
      </w:pPr>
      <w:r>
        <w:rPr>
          <w:sz w:val="24"/>
          <w:szCs w:val="24"/>
        </w:rPr>
        <w:t xml:space="preserve">trustee.  See, e.g., 11 U.S.C. §§ 323(a),  363, and 704.”  The </w:t>
      </w:r>
      <w:r>
        <w:rPr>
          <w:sz w:val="24"/>
          <w:szCs w:val="24"/>
        </w:rPr>
        <w:t>Tr</w:t>
      </w:r>
      <w:r>
        <w:rPr>
          <w:sz w:val="24"/>
          <w:szCs w:val="24"/>
        </w:rPr>
        <w:t>ustee administers the estate in the</w:t>
      </w:r>
    </w:p>
    <w:p>
      <w:pPr>
        <w:pStyle w:val="Normal"/>
        <w:rPr>
          <w:sz w:val="24"/>
          <w:szCs w:val="24"/>
        </w:rPr>
      </w:pPr>
      <w:r>
        <w:rPr>
          <w:sz w:val="24"/>
          <w:szCs w:val="24"/>
        </w:rPr>
      </w:r>
    </w:p>
    <w:p>
      <w:pPr>
        <w:pStyle w:val="Normal"/>
        <w:rPr/>
      </w:pPr>
      <w:r>
        <w:rPr>
          <w:sz w:val="24"/>
          <w:szCs w:val="24"/>
        </w:rPr>
        <w:t xml:space="preserve">interests of the beneficiaries and Dulberg was a beneficiary </w:t>
      </w:r>
      <w:r>
        <w:rPr>
          <w:sz w:val="24"/>
          <w:szCs w:val="24"/>
        </w:rPr>
        <w:t>of the bankruptcy estate</w:t>
      </w:r>
      <w:r>
        <w:rPr>
          <w:sz w:val="24"/>
          <w:szCs w:val="24"/>
        </w:rPr>
        <w:t>.  Yet Baudin</w:t>
      </w:r>
    </w:p>
    <w:p>
      <w:pPr>
        <w:pStyle w:val="Normal"/>
        <w:rPr>
          <w:sz w:val="24"/>
          <w:szCs w:val="24"/>
        </w:rPr>
      </w:pPr>
      <w:r>
        <w:rPr/>
      </w:r>
    </w:p>
    <w:p>
      <w:pPr>
        <w:pStyle w:val="Normal"/>
        <w:rPr/>
      </w:pPr>
      <w:r>
        <w:rPr>
          <w:sz w:val="24"/>
          <w:szCs w:val="24"/>
        </w:rPr>
        <w:t xml:space="preserve">Defendants entered into contract with Dulberg alone and in violation of the automatic stay.  </w:t>
      </w:r>
      <w:r>
        <w:rPr/>
        <w:t xml:space="preserve"> </w:t>
      </w:r>
    </w:p>
    <w:p>
      <w:pPr>
        <w:pStyle w:val="TextBody"/>
        <w:spacing w:before="91" w:after="0"/>
        <w:rPr>
          <w:bCs/>
          <w:spacing w:val="-2"/>
          <w:w w:val="110"/>
          <w:sz w:val="24"/>
          <w:szCs w:val="24"/>
        </w:rPr>
      </w:pPr>
      <w:r>
        <w:rPr>
          <w:bCs/>
          <w:spacing w:val="-2"/>
          <w:w w:val="110"/>
          <w:sz w:val="24"/>
          <w:szCs w:val="24"/>
        </w:rPr>
      </w:r>
    </w:p>
    <w:p>
      <w:pPr>
        <w:pStyle w:val="Normal"/>
        <w:rPr>
          <w:sz w:val="24"/>
          <w:szCs w:val="24"/>
        </w:rPr>
      </w:pPr>
      <w:r>
        <w:rPr>
          <w:sz w:val="24"/>
          <w:szCs w:val="24"/>
        </w:rPr>
        <w:t>3.  Baudin Defendants stated that “Once a debtor files for bankruptcy, any unliquidated</w:t>
      </w:r>
    </w:p>
    <w:p>
      <w:pPr>
        <w:pStyle w:val="Normal"/>
        <w:rPr>
          <w:sz w:val="24"/>
          <w:szCs w:val="24"/>
        </w:rPr>
      </w:pPr>
      <w:r>
        <w:rPr/>
      </w:r>
    </w:p>
    <w:p>
      <w:pPr>
        <w:pStyle w:val="Normal"/>
        <w:rPr>
          <w:sz w:val="24"/>
          <w:szCs w:val="24"/>
        </w:rPr>
      </w:pPr>
      <w:r>
        <w:rPr>
          <w:sz w:val="24"/>
          <w:szCs w:val="24"/>
        </w:rPr>
        <w:t xml:space="preserve">lawsuits become part of the bankruptcy estate; regardless of whether such claims are scheduled, </w:t>
      </w:r>
    </w:p>
    <w:p>
      <w:pPr>
        <w:pStyle w:val="Normal"/>
        <w:rPr>
          <w:sz w:val="24"/>
          <w:szCs w:val="24"/>
        </w:rPr>
      </w:pPr>
      <w:r>
        <w:rPr/>
      </w:r>
    </w:p>
    <w:p>
      <w:pPr>
        <w:pStyle w:val="Normal"/>
        <w:rPr>
          <w:sz w:val="24"/>
          <w:szCs w:val="24"/>
        </w:rPr>
      </w:pPr>
      <w:r>
        <w:rPr>
          <w:sz w:val="24"/>
          <w:szCs w:val="24"/>
        </w:rPr>
        <w:t xml:space="preserve">a debtor is divested of standing to pursue them upon filing his petition.”  Yet the Baudin </w:t>
      </w:r>
    </w:p>
    <w:p>
      <w:pPr>
        <w:pStyle w:val="Normal"/>
        <w:rPr>
          <w:sz w:val="24"/>
          <w:szCs w:val="24"/>
        </w:rPr>
      </w:pPr>
      <w:r>
        <w:rPr/>
      </w:r>
    </w:p>
    <w:p>
      <w:pPr>
        <w:pStyle w:val="Normal"/>
        <w:rPr>
          <w:sz w:val="24"/>
          <w:szCs w:val="24"/>
        </w:rPr>
      </w:pPr>
      <w:r>
        <w:rPr>
          <w:sz w:val="24"/>
          <w:szCs w:val="24"/>
        </w:rPr>
        <w:t>Defendants, from September  22, 2015 to October 31. 2016, pursued Dulberg’s claim knowing</w:t>
      </w:r>
    </w:p>
    <w:p>
      <w:pPr>
        <w:pStyle w:val="Normal"/>
        <w:rPr>
          <w:sz w:val="24"/>
          <w:szCs w:val="24"/>
        </w:rPr>
      </w:pPr>
      <w:r>
        <w:rPr/>
      </w:r>
    </w:p>
    <w:p>
      <w:pPr>
        <w:pStyle w:val="Normal"/>
        <w:rPr>
          <w:sz w:val="24"/>
          <w:szCs w:val="24"/>
        </w:rPr>
      </w:pPr>
      <w:r>
        <w:rPr>
          <w:sz w:val="24"/>
          <w:szCs w:val="24"/>
        </w:rPr>
        <w:t>he had no standing in court and repeatedly urged him to enter into binding mediation in violation</w:t>
      </w:r>
    </w:p>
    <w:p>
      <w:pPr>
        <w:pStyle w:val="Normal"/>
        <w:rPr>
          <w:sz w:val="24"/>
          <w:szCs w:val="24"/>
        </w:rPr>
      </w:pPr>
      <w:r>
        <w:rPr/>
      </w:r>
    </w:p>
    <w:p>
      <w:pPr>
        <w:pStyle w:val="Normal"/>
        <w:rPr>
          <w:sz w:val="24"/>
          <w:szCs w:val="24"/>
        </w:rPr>
      </w:pPr>
      <w:r>
        <w:rPr>
          <w:sz w:val="24"/>
          <w:szCs w:val="24"/>
        </w:rPr>
        <w:t>of the automatic stay.</w:t>
      </w:r>
    </w:p>
    <w:p>
      <w:pPr>
        <w:pStyle w:val="Normal"/>
        <w:rPr>
          <w:sz w:val="24"/>
          <w:szCs w:val="24"/>
        </w:rPr>
      </w:pPr>
      <w:r>
        <w:rPr>
          <w:sz w:val="24"/>
          <w:szCs w:val="24"/>
        </w:rPr>
      </w:r>
    </w:p>
    <w:p>
      <w:pPr>
        <w:pStyle w:val="Normal"/>
        <w:rPr>
          <w:sz w:val="24"/>
          <w:szCs w:val="24"/>
        </w:rPr>
      </w:pPr>
      <w:r>
        <w:rPr>
          <w:sz w:val="24"/>
          <w:szCs w:val="24"/>
        </w:rPr>
        <w:t>4.  As stated</w:t>
      </w:r>
      <w:r>
        <w:rPr>
          <w:bCs/>
          <w:spacing w:val="-2"/>
          <w:w w:val="110"/>
          <w:sz w:val="24"/>
          <w:szCs w:val="24"/>
        </w:rPr>
        <w:t xml:space="preserve">  </w:t>
      </w:r>
      <w:r>
        <w:rPr>
          <w:b/>
          <w:i/>
          <w:iCs/>
          <w:spacing w:val="-2"/>
          <w:w w:val="110"/>
          <w:sz w:val="24"/>
          <w:szCs w:val="24"/>
        </w:rPr>
        <w:t>In re Enyedi, 371 B.R. 327, 334 (N.D. Ill. 2007)</w:t>
      </w:r>
    </w:p>
    <w:p>
      <w:pPr>
        <w:pStyle w:val="Normal"/>
        <w:rPr>
          <w:sz w:val="24"/>
          <w:szCs w:val="24"/>
        </w:rPr>
      </w:pPr>
      <w:r>
        <w:rPr>
          <w:sz w:val="24"/>
          <w:szCs w:val="24"/>
        </w:rPr>
      </w:r>
    </w:p>
    <w:p>
      <w:pPr>
        <w:pStyle w:val="Normal"/>
        <w:ind w:left="720" w:hanging="0"/>
        <w:rPr>
          <w:sz w:val="24"/>
          <w:szCs w:val="24"/>
        </w:rPr>
      </w:pPr>
      <w:r>
        <w:rPr>
          <w:sz w:val="24"/>
          <w:szCs w:val="24"/>
        </w:rPr>
        <w:t xml:space="preserve">It is well established in case law that acts taken in violation of the automatic stay imposed under  section 362(a) of the Bankruptcy Code are deemed void ab initio and lack effect. See Middle Tenn. News Co., Inc. v. Charnel of Cincinnati, Inc., 250 F.3d 1077, 1082 (7th Cir. 2001) ("Actions taken in violation of an automatic stay ordinarily are void."); York Ctr. Park Dist. v. Krilich, 40 F.3d 205, 207 (7th Cir. 1994) (judgment issued against debtors without a modification of the automatic stay must be vacated); Matthews v. Rosene, 739 F.2d 249, 251 (7th Cir. 1984) (orders issued in violation of automatic stay provisions of Bankruptcy Code ordinarily are void); In re Benalcazar, 283 B.R. 514, (Bankr.N.D.Ill. 2002) (same); Garcia v. Phoenix Bond Indem. Co. (In re Garcia), 109 B.R. 335, 340 (N.D.Ill. 1989) ("[T]he fundamental importance of the automatic stay to the purposes sought to be accomplished by the Bankruptcy Code requires that acts in violation of the automatic stay be void, rather than voidable. Concluding that acts in violation of the automatic stay were merely voidable would have the effect of  </w:t>
      </w:r>
      <w:r>
        <w:rPr>
          <w:sz w:val="24"/>
          <w:szCs w:val="24"/>
        </w:rPr>
        <w:t>e</w:t>
      </w:r>
      <w:r>
        <w:rPr>
          <w:sz w:val="24"/>
          <w:szCs w:val="24"/>
        </w:rPr>
        <w:t xml:space="preserve">ncouraging disrespect for the stay by increasing the possibility that violators of the automatic stay may profit from their disregard of the law, provided it goes undiscovered </w:t>
      </w:r>
      <w:r>
        <w:rPr>
          <w:sz w:val="24"/>
          <w:szCs w:val="24"/>
        </w:rPr>
        <w:t>for</w:t>
      </w:r>
      <w:r>
        <w:rPr>
          <w:sz w:val="24"/>
          <w:szCs w:val="24"/>
        </w:rPr>
        <w:t xml:space="preserve"> a sufficient period of time."). See also Hood v. Hall, 321 Ill.App.3d 452, 254 Ill.Dec. 470, 747 N.E.2d 510, 512 (2001) ("There is no question that judgments entered in violation of the automatic stay in bankruptcy are void ab initio . . . and that void judgments may be attacked at any time."); Concrete Prod, Inc. v. Centex Homes, 308 Ill.App.3d 957, 242 Ill.Dec. 523, 721 N.E.2d 802, 804 (1999) ("[A]cts in violation of the section 362(a) automatic stay are void ab initio.") </w:t>
      </w:r>
    </w:p>
    <w:p>
      <w:pPr>
        <w:pStyle w:val="Normal"/>
        <w:rPr>
          <w:sz w:val="24"/>
          <w:szCs w:val="24"/>
        </w:rPr>
      </w:pPr>
      <w:r>
        <w:rPr>
          <w:sz w:val="24"/>
          <w:szCs w:val="24"/>
        </w:rPr>
      </w:r>
    </w:p>
    <w:p>
      <w:pPr>
        <w:pStyle w:val="TextBody"/>
        <w:rPr>
          <w:sz w:val="24"/>
          <w:szCs w:val="24"/>
        </w:rPr>
      </w:pPr>
      <w:r>
        <w:rPr>
          <w:sz w:val="24"/>
          <w:szCs w:val="24"/>
        </w:rPr>
        <w:t>5.  The purpose of the Baudin Defendants representing Dulberg in court (even though they</w:t>
      </w:r>
    </w:p>
    <w:p>
      <w:pPr>
        <w:pStyle w:val="TextBody"/>
        <w:rPr>
          <w:sz w:val="24"/>
          <w:szCs w:val="24"/>
        </w:rPr>
      </w:pPr>
      <w:r>
        <w:rPr>
          <w:sz w:val="24"/>
          <w:szCs w:val="24"/>
        </w:rPr>
      </w:r>
    </w:p>
    <w:p>
      <w:pPr>
        <w:pStyle w:val="TextBody"/>
        <w:rPr>
          <w:sz w:val="24"/>
          <w:szCs w:val="24"/>
        </w:rPr>
      </w:pPr>
      <w:r>
        <w:rPr>
          <w:sz w:val="24"/>
          <w:szCs w:val="24"/>
        </w:rPr>
        <w:t>knew or should have known that Dulberg lacked standing and any furtherance of the personal</w:t>
      </w:r>
    </w:p>
    <w:p>
      <w:pPr>
        <w:pStyle w:val="TextBody"/>
        <w:rPr>
          <w:sz w:val="24"/>
          <w:szCs w:val="24"/>
        </w:rPr>
      </w:pPr>
      <w:r>
        <w:rPr>
          <w:sz w:val="24"/>
          <w:szCs w:val="24"/>
        </w:rPr>
      </w:r>
    </w:p>
    <w:p>
      <w:pPr>
        <w:pStyle w:val="TextBody"/>
        <w:rPr>
          <w:sz w:val="24"/>
          <w:szCs w:val="24"/>
        </w:rPr>
      </w:pPr>
      <w:r>
        <w:rPr>
          <w:sz w:val="24"/>
          <w:szCs w:val="24"/>
        </w:rPr>
        <w:t xml:space="preserve"> </w:t>
      </w:r>
      <w:r>
        <w:rPr>
          <w:sz w:val="24"/>
          <w:szCs w:val="24"/>
        </w:rPr>
        <w:t xml:space="preserve">injury case in violation of the automatic stay) </w:t>
      </w:r>
      <w:r>
        <w:rPr>
          <w:sz w:val="24"/>
          <w:szCs w:val="24"/>
        </w:rPr>
        <w:t xml:space="preserve">appears to </w:t>
      </w:r>
      <w:r>
        <w:rPr>
          <w:sz w:val="24"/>
          <w:szCs w:val="24"/>
        </w:rPr>
        <w:t>have been to place an upper  limit on</w:t>
      </w:r>
    </w:p>
    <w:p>
      <w:pPr>
        <w:pStyle w:val="TextBody"/>
        <w:rPr>
          <w:sz w:val="24"/>
          <w:szCs w:val="24"/>
        </w:rPr>
      </w:pPr>
      <w:r>
        <w:rPr/>
      </w:r>
    </w:p>
    <w:p>
      <w:pPr>
        <w:pStyle w:val="TextBody"/>
        <w:rPr>
          <w:sz w:val="24"/>
          <w:szCs w:val="24"/>
        </w:rPr>
      </w:pPr>
      <w:r>
        <w:rPr>
          <w:sz w:val="24"/>
          <w:szCs w:val="24"/>
        </w:rPr>
        <w:t xml:space="preserve">the  value of the case. </w:t>
      </w:r>
    </w:p>
    <w:p>
      <w:pPr>
        <w:pStyle w:val="TextBody"/>
        <w:spacing w:before="91" w:after="0"/>
        <w:rPr>
          <w:sz w:val="24"/>
          <w:szCs w:val="24"/>
        </w:rPr>
      </w:pPr>
      <w:r>
        <w:rPr>
          <w:sz w:val="24"/>
          <w:szCs w:val="24"/>
        </w:rPr>
      </w:r>
    </w:p>
    <w:p>
      <w:pPr>
        <w:pStyle w:val="TextBody"/>
        <w:spacing w:before="91" w:after="0"/>
        <w:rPr>
          <w:sz w:val="24"/>
          <w:szCs w:val="24"/>
        </w:rPr>
      </w:pPr>
      <w:r>
        <w:rPr>
          <w:bCs/>
          <w:spacing w:val="-2"/>
          <w:w w:val="110"/>
          <w:sz w:val="24"/>
          <w:szCs w:val="24"/>
        </w:rPr>
        <w:t>6. Plaintiffs were damaged in an amount of at least $261,000.00 based on PLAINTIFFS</w:t>
      </w:r>
    </w:p>
    <w:p>
      <w:pPr>
        <w:pStyle w:val="TextBody"/>
        <w:spacing w:before="91" w:after="0"/>
        <w:rPr>
          <w:bCs/>
          <w:spacing w:val="-2"/>
          <w:w w:val="110"/>
          <w:sz w:val="24"/>
          <w:szCs w:val="24"/>
        </w:rPr>
      </w:pPr>
      <w:r>
        <w:rPr>
          <w:bCs/>
          <w:spacing w:val="-2"/>
          <w:w w:val="110"/>
          <w:sz w:val="24"/>
          <w:szCs w:val="24"/>
        </w:rPr>
      </w:r>
    </w:p>
    <w:p>
      <w:pPr>
        <w:pStyle w:val="Normal"/>
        <w:widowControl/>
        <w:rPr>
          <w:rFonts w:eastAsia="Calibri" w:eastAsiaTheme="minorHAnsi"/>
          <w:color w:val="000000"/>
          <w:sz w:val="24"/>
          <w:szCs w:val="24"/>
        </w:rPr>
      </w:pPr>
      <w:r>
        <w:rPr>
          <w:bCs/>
          <w:spacing w:val="-2"/>
          <w:w w:val="110"/>
          <w:sz w:val="24"/>
          <w:szCs w:val="24"/>
        </w:rPr>
        <w:t xml:space="preserve">COMPLAINT EXHIBIT 10 as </w:t>
      </w:r>
      <w:r>
        <w:rPr>
          <w:rFonts w:eastAsia="Calibri" w:eastAsiaTheme="minorHAnsi"/>
          <w:sz w:val="24"/>
          <w:szCs w:val="24"/>
        </w:rPr>
        <w:t xml:space="preserve">verified by certification pursuant to section 1-109 </w:t>
      </w:r>
      <w:r>
        <w:rPr>
          <w:rFonts w:eastAsia="Calibri" w:eastAsiaTheme="minorHAnsi"/>
          <w:color w:val="000000"/>
          <w:sz w:val="24"/>
          <w:szCs w:val="24"/>
        </w:rPr>
        <w:t>of the Code</w:t>
      </w:r>
    </w:p>
    <w:p>
      <w:pPr>
        <w:pStyle w:val="Normal"/>
        <w:widowControl/>
        <w:rPr>
          <w:rFonts w:eastAsia="Calibri" w:eastAsiaTheme="minorHAnsi"/>
          <w:color w:val="000000"/>
          <w:sz w:val="24"/>
          <w:szCs w:val="24"/>
        </w:rPr>
      </w:pPr>
      <w:r>
        <w:rPr>
          <w:rFonts w:eastAsia="Calibri" w:eastAsiaTheme="minorHAnsi"/>
          <w:color w:val="000000"/>
          <w:sz w:val="24"/>
          <w:szCs w:val="24"/>
        </w:rPr>
      </w:r>
    </w:p>
    <w:p>
      <w:pPr>
        <w:pStyle w:val="Normal"/>
        <w:widowControl/>
        <w:rPr>
          <w:rFonts w:eastAsia="Calibri" w:eastAsiaTheme="minorHAnsi"/>
          <w:color w:val="000000"/>
          <w:sz w:val="24"/>
          <w:szCs w:val="24"/>
        </w:rPr>
      </w:pPr>
      <w:r>
        <w:rPr>
          <w:rFonts w:eastAsia="Calibri" w:eastAsiaTheme="minorHAnsi"/>
          <w:color w:val="000000"/>
          <w:sz w:val="24"/>
          <w:szCs w:val="24"/>
        </w:rPr>
        <w:t>of Civil Procedure, stating that the undersigned certifies that the statements set forth in this</w:t>
      </w:r>
    </w:p>
    <w:p>
      <w:pPr>
        <w:pStyle w:val="Normal"/>
        <w:widowControl/>
        <w:rPr>
          <w:rFonts w:eastAsia="Calibri" w:eastAsiaTheme="minorHAnsi"/>
          <w:color w:val="000000"/>
          <w:sz w:val="24"/>
          <w:szCs w:val="24"/>
        </w:rPr>
      </w:pPr>
      <w:r>
        <w:rPr>
          <w:rFonts w:eastAsia="Calibri" w:eastAsiaTheme="minorHAnsi"/>
          <w:color w:val="000000"/>
          <w:sz w:val="24"/>
          <w:szCs w:val="24"/>
        </w:rPr>
      </w:r>
    </w:p>
    <w:p>
      <w:pPr>
        <w:pStyle w:val="Normal"/>
        <w:widowControl/>
        <w:rPr>
          <w:rFonts w:eastAsia="Calibri" w:eastAsiaTheme="minorHAnsi"/>
          <w:color w:val="313131"/>
          <w:sz w:val="24"/>
          <w:szCs w:val="24"/>
        </w:rPr>
      </w:pPr>
      <w:r>
        <w:rPr>
          <w:rFonts w:eastAsia="Calibri" w:eastAsiaTheme="minorHAnsi"/>
          <w:color w:val="000000"/>
          <w:sz w:val="24"/>
          <w:szCs w:val="24"/>
        </w:rPr>
        <w:t xml:space="preserve">instrument are true and </w:t>
      </w:r>
      <w:r>
        <w:rPr>
          <w:rFonts w:eastAsia="Calibri" w:eastAsiaTheme="minorHAnsi"/>
          <w:color w:val="313131"/>
          <w:sz w:val="24"/>
          <w:szCs w:val="24"/>
        </w:rPr>
        <w:t>correct</w:t>
      </w:r>
      <w:r>
        <w:rPr>
          <w:rFonts w:eastAsia="Calibri" w:eastAsiaTheme="minorHAnsi"/>
          <w:color w:val="595959"/>
          <w:sz w:val="24"/>
          <w:szCs w:val="24"/>
        </w:rPr>
        <w:t xml:space="preserve">, </w:t>
      </w:r>
      <w:r>
        <w:rPr>
          <w:rFonts w:eastAsia="Calibri" w:eastAsiaTheme="minorHAnsi"/>
          <w:color w:val="313131"/>
          <w:sz w:val="24"/>
          <w:szCs w:val="24"/>
        </w:rPr>
        <w:t xml:space="preserve">except as to matters therein stated to be on information and </w:t>
      </w:r>
    </w:p>
    <w:p>
      <w:pPr>
        <w:pStyle w:val="Normal"/>
        <w:widowControl/>
        <w:rPr>
          <w:rFonts w:eastAsia="Calibri" w:eastAsiaTheme="minorHAnsi"/>
          <w:color w:val="313131"/>
          <w:sz w:val="24"/>
          <w:szCs w:val="24"/>
        </w:rPr>
      </w:pPr>
      <w:r>
        <w:rPr>
          <w:rFonts w:eastAsia="Calibri" w:eastAsiaTheme="minorHAnsi"/>
          <w:color w:val="313131"/>
          <w:sz w:val="24"/>
          <w:szCs w:val="24"/>
        </w:rPr>
      </w:r>
    </w:p>
    <w:p>
      <w:pPr>
        <w:pStyle w:val="Normal"/>
        <w:widowControl/>
        <w:rPr>
          <w:rFonts w:eastAsia="Calibri" w:eastAsiaTheme="minorHAnsi"/>
          <w:color w:val="313131"/>
          <w:sz w:val="24"/>
          <w:szCs w:val="24"/>
        </w:rPr>
      </w:pPr>
      <w:r>
        <w:rPr>
          <w:rFonts w:eastAsia="Calibri" w:eastAsiaTheme="minorHAnsi"/>
          <w:color w:val="313131"/>
          <w:sz w:val="24"/>
          <w:szCs w:val="24"/>
        </w:rPr>
        <w:t xml:space="preserve">belief, and as to such matters the undersigned </w:t>
      </w:r>
      <w:r>
        <w:rPr>
          <w:rFonts w:eastAsia="Calibri" w:eastAsiaTheme="minorHAnsi"/>
          <w:color w:val="494949"/>
          <w:sz w:val="24"/>
          <w:szCs w:val="24"/>
        </w:rPr>
        <w:t xml:space="preserve">certifies </w:t>
      </w:r>
      <w:r>
        <w:rPr>
          <w:rFonts w:eastAsia="Calibri" w:eastAsiaTheme="minorHAnsi"/>
          <w:color w:val="313131"/>
          <w:sz w:val="24"/>
          <w:szCs w:val="24"/>
        </w:rPr>
        <w:t>as aforesaid that he verily believes the</w:t>
      </w:r>
    </w:p>
    <w:p>
      <w:pPr>
        <w:pStyle w:val="Normal"/>
        <w:widowControl/>
        <w:rPr>
          <w:rFonts w:eastAsia="Calibri" w:eastAsiaTheme="minorHAnsi"/>
          <w:color w:val="313131"/>
          <w:sz w:val="24"/>
          <w:szCs w:val="24"/>
        </w:rPr>
      </w:pPr>
      <w:r>
        <w:rPr>
          <w:rFonts w:eastAsia="Calibri" w:eastAsiaTheme="minorHAnsi"/>
          <w:color w:val="313131"/>
          <w:sz w:val="24"/>
          <w:szCs w:val="24"/>
        </w:rPr>
      </w:r>
    </w:p>
    <w:p>
      <w:pPr>
        <w:pStyle w:val="Normal"/>
        <w:widowControl/>
        <w:rPr>
          <w:rFonts w:eastAsia="Calibri" w:eastAsiaTheme="minorHAnsi"/>
          <w:color w:val="313131"/>
          <w:sz w:val="24"/>
          <w:szCs w:val="24"/>
        </w:rPr>
      </w:pPr>
      <w:r>
        <w:rPr>
          <w:rFonts w:eastAsia="Calibri" w:eastAsiaTheme="minorHAnsi"/>
          <w:color w:val="313131"/>
          <w:sz w:val="24"/>
          <w:szCs w:val="24"/>
        </w:rPr>
        <w:t>same to be true.  It should be noted that the Baudin Defendants neither filed an answer denying</w:t>
      </w:r>
    </w:p>
    <w:p>
      <w:pPr>
        <w:pStyle w:val="Normal"/>
        <w:widowControl/>
        <w:rPr>
          <w:rFonts w:eastAsia="Calibri" w:eastAsiaTheme="minorHAnsi"/>
          <w:color w:val="313131"/>
          <w:sz w:val="24"/>
          <w:szCs w:val="24"/>
        </w:rPr>
      </w:pPr>
      <w:r>
        <w:rPr/>
      </w:r>
    </w:p>
    <w:p>
      <w:pPr>
        <w:pStyle w:val="Normal"/>
        <w:widowControl/>
        <w:rPr>
          <w:rFonts w:eastAsia="Calibri" w:eastAsiaTheme="minorHAnsi"/>
          <w:color w:val="313131"/>
          <w:sz w:val="24"/>
          <w:szCs w:val="24"/>
        </w:rPr>
      </w:pPr>
      <w:r>
        <w:rPr>
          <w:rFonts w:eastAsia="Calibri" w:eastAsiaTheme="minorHAnsi"/>
          <w:color w:val="313131"/>
          <w:sz w:val="24"/>
          <w:szCs w:val="24"/>
        </w:rPr>
        <w:t xml:space="preserve">the validity of  Exhibit 10, which was also attached to the Baudin Defendants’ Motion To </w:t>
      </w:r>
    </w:p>
    <w:p>
      <w:pPr>
        <w:pStyle w:val="Normal"/>
        <w:widowControl/>
        <w:rPr>
          <w:rFonts w:eastAsia="Calibri" w:eastAsiaTheme="minorHAnsi"/>
          <w:color w:val="313131"/>
          <w:sz w:val="24"/>
          <w:szCs w:val="24"/>
        </w:rPr>
      </w:pPr>
      <w:r>
        <w:rPr/>
      </w:r>
    </w:p>
    <w:p>
      <w:pPr>
        <w:pStyle w:val="Normal"/>
        <w:widowControl/>
        <w:rPr>
          <w:rFonts w:eastAsia="Calibri" w:eastAsiaTheme="minorHAnsi"/>
          <w:color w:val="313131"/>
          <w:sz w:val="24"/>
          <w:szCs w:val="24"/>
        </w:rPr>
      </w:pPr>
      <w:r>
        <w:rPr>
          <w:rFonts w:eastAsia="Calibri" w:eastAsiaTheme="minorHAnsi"/>
          <w:color w:val="313131"/>
          <w:sz w:val="24"/>
          <w:szCs w:val="24"/>
        </w:rPr>
        <w:t xml:space="preserve">Dismiss as Defendants’ EXHIBIT A, nor did they attach any affidavits disputing the validity of </w:t>
      </w:r>
    </w:p>
    <w:p>
      <w:pPr>
        <w:pStyle w:val="Normal"/>
        <w:widowControl/>
        <w:rPr>
          <w:rFonts w:eastAsia="Calibri" w:eastAsiaTheme="minorHAnsi"/>
          <w:color w:val="313131"/>
          <w:sz w:val="24"/>
          <w:szCs w:val="24"/>
        </w:rPr>
      </w:pPr>
      <w:r>
        <w:rPr/>
      </w:r>
    </w:p>
    <w:p>
      <w:pPr>
        <w:pStyle w:val="Normal"/>
        <w:widowControl/>
        <w:rPr>
          <w:rFonts w:eastAsia="Calibri" w:eastAsiaTheme="minorHAnsi"/>
          <w:color w:val="313131"/>
          <w:sz w:val="24"/>
          <w:szCs w:val="24"/>
        </w:rPr>
      </w:pPr>
      <w:r>
        <w:rPr>
          <w:rFonts w:eastAsia="Calibri" w:eastAsiaTheme="minorHAnsi"/>
          <w:color w:val="313131"/>
          <w:sz w:val="24"/>
          <w:szCs w:val="24"/>
        </w:rPr>
        <w:t xml:space="preserve">the </w:t>
      </w:r>
      <w:r>
        <w:rPr>
          <w:rFonts w:eastAsia="Calibri" w:eastAsiaTheme="minorHAnsi"/>
          <w:color w:val="3D3D3D"/>
          <w:sz w:val="24"/>
          <w:szCs w:val="24"/>
        </w:rPr>
        <w:t>Binding Mediation Award.</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rPr>
          <w:rFonts w:eastAsia="Calibri" w:eastAsiaTheme="minorHAnsi"/>
          <w:color w:val="3D3D3D"/>
          <w:sz w:val="24"/>
          <w:szCs w:val="24"/>
        </w:rPr>
      </w:pPr>
      <w:r>
        <w:rPr>
          <w:rFonts w:eastAsia="Calibri" w:eastAsiaTheme="minorHAnsi"/>
          <w:color w:val="3D3D3D"/>
          <w:sz w:val="24"/>
          <w:szCs w:val="24"/>
        </w:rPr>
        <w:t>7</w:t>
      </w:r>
      <w:r>
        <w:rPr>
          <w:rFonts w:eastAsia="Calibri" w:eastAsiaTheme="minorHAnsi"/>
          <w:color w:val="3D3D3D"/>
          <w:sz w:val="24"/>
          <w:szCs w:val="24"/>
        </w:rPr>
        <w:t>. A fact gleaned from the Binding Mediation Award was that the Honorable Judge James P.</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rPr>
          <w:rFonts w:eastAsia="Calibri" w:eastAsiaTheme="minorHAnsi"/>
          <w:color w:val="3D3D3D"/>
          <w:sz w:val="24"/>
          <w:szCs w:val="24"/>
        </w:rPr>
      </w:pPr>
      <w:r>
        <w:rPr>
          <w:rFonts w:eastAsia="Calibri" w:eastAsiaTheme="minorHAnsi"/>
          <w:color w:val="3D3D3D"/>
          <w:sz w:val="24"/>
          <w:szCs w:val="24"/>
        </w:rPr>
        <w:t xml:space="preserve">Etchingham, after hearing the case, determined that Plaintiff Paul R. Dulberg was entitled to an </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rPr>
          <w:rFonts w:eastAsia="Calibri" w:eastAsiaTheme="minorHAnsi"/>
          <w:color w:val="3D3D3D"/>
          <w:sz w:val="24"/>
          <w:szCs w:val="24"/>
        </w:rPr>
      </w:pPr>
      <w:r>
        <w:rPr>
          <w:rFonts w:eastAsia="Calibri" w:eastAsiaTheme="minorHAnsi"/>
          <w:color w:val="3D3D3D"/>
          <w:sz w:val="24"/>
          <w:szCs w:val="24"/>
        </w:rPr>
        <w:t>award of $660,000.00 less  15% for comparative fault resulting in a net award of $561,000.00.</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rPr>
          <w:rFonts w:eastAsia="Calibri" w:eastAsiaTheme="minorHAnsi"/>
          <w:color w:val="3D3D3D"/>
          <w:sz w:val="24"/>
          <w:szCs w:val="24"/>
        </w:rPr>
      </w:pPr>
      <w:r>
        <w:rPr>
          <w:rFonts w:eastAsia="Calibri" w:eastAsiaTheme="minorHAnsi"/>
          <w:color w:val="3D3D3D"/>
          <w:sz w:val="24"/>
          <w:szCs w:val="24"/>
        </w:rPr>
        <w:t>8</w:t>
      </w:r>
      <w:r>
        <w:rPr>
          <w:rFonts w:eastAsia="Calibri" w:eastAsiaTheme="minorHAnsi"/>
          <w:color w:val="3D3D3D"/>
          <w:sz w:val="24"/>
          <w:szCs w:val="24"/>
        </w:rPr>
        <w:t>. The Binding Mediation Agreement in both its unexplained configurations had a cap on</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rPr>
          <w:rFonts w:eastAsia="Calibri" w:eastAsiaTheme="minorHAnsi"/>
          <w:color w:val="3D3D3D"/>
          <w:sz w:val="24"/>
          <w:szCs w:val="24"/>
        </w:rPr>
      </w:pPr>
      <w:r>
        <w:rPr>
          <w:rFonts w:eastAsia="Calibri" w:eastAsiaTheme="minorHAnsi"/>
          <w:color w:val="3D3D3D"/>
          <w:sz w:val="24"/>
          <w:szCs w:val="24"/>
        </w:rPr>
        <w:t xml:space="preserve"> </w:t>
      </w:r>
      <w:r>
        <w:rPr>
          <w:rFonts w:eastAsia="Calibri" w:eastAsiaTheme="minorHAnsi"/>
          <w:color w:val="3D3D3D"/>
          <w:sz w:val="24"/>
          <w:szCs w:val="24"/>
        </w:rPr>
        <w:t>Plaintiff Award of $300,000.00.</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rPr>
          <w:rFonts w:eastAsia="Calibri" w:eastAsiaTheme="minorHAnsi"/>
          <w:b/>
          <w:b/>
          <w:bCs/>
          <w:color w:val="3D3D3D"/>
          <w:sz w:val="24"/>
          <w:szCs w:val="24"/>
        </w:rPr>
      </w:pPr>
      <w:r>
        <w:rPr>
          <w:rFonts w:eastAsia="Calibri" w:eastAsiaTheme="minorHAnsi"/>
          <w:color w:val="3D3D3D"/>
          <w:sz w:val="24"/>
          <w:szCs w:val="24"/>
        </w:rPr>
        <w:t>9</w:t>
      </w:r>
      <w:r>
        <w:rPr>
          <w:rFonts w:eastAsia="Calibri" w:eastAsiaTheme="minorHAnsi"/>
          <w:color w:val="3D3D3D"/>
          <w:sz w:val="24"/>
          <w:szCs w:val="24"/>
        </w:rPr>
        <w:t xml:space="preserve">. </w:t>
      </w:r>
      <w:r>
        <w:rPr>
          <w:rFonts w:eastAsia="Calibri" w:eastAsiaTheme="minorHAnsi"/>
          <w:b/>
          <w:bCs/>
          <w:color w:val="3D3D3D"/>
          <w:sz w:val="24"/>
          <w:szCs w:val="24"/>
        </w:rPr>
        <w:t xml:space="preserve">PLAINTIFF WAS CLEARLY DAMAGED IN AN AMOUNT EQUAL </w:t>
      </w:r>
    </w:p>
    <w:p>
      <w:pPr>
        <w:pStyle w:val="Normal"/>
        <w:widowControl/>
        <w:rPr>
          <w:rFonts w:eastAsia="Calibri" w:eastAsiaTheme="minorHAnsi"/>
          <w:b/>
          <w:b/>
          <w:bCs/>
          <w:color w:val="3D3D3D"/>
          <w:sz w:val="24"/>
          <w:szCs w:val="24"/>
        </w:rPr>
      </w:pPr>
      <w:r>
        <w:rPr>
          <w:rFonts w:eastAsia="Calibri" w:eastAsiaTheme="minorHAnsi"/>
          <w:b/>
          <w:bCs/>
          <w:color w:val="3D3D3D"/>
          <w:sz w:val="24"/>
          <w:szCs w:val="24"/>
        </w:rPr>
      </w:r>
    </w:p>
    <w:p>
      <w:pPr>
        <w:pStyle w:val="Normal"/>
        <w:widowControl/>
        <w:rPr>
          <w:rFonts w:eastAsia="Calibri" w:eastAsiaTheme="minorHAnsi"/>
          <w:b/>
          <w:b/>
          <w:bCs/>
          <w:color w:val="3D3D3D"/>
          <w:sz w:val="24"/>
          <w:szCs w:val="24"/>
        </w:rPr>
      </w:pPr>
      <w:r>
        <w:rPr>
          <w:rFonts w:eastAsia="Calibri" w:eastAsiaTheme="minorHAnsi"/>
          <w:b/>
          <w:bCs/>
          <w:color w:val="3D3D3D"/>
          <w:sz w:val="24"/>
          <w:szCs w:val="24"/>
        </w:rPr>
        <w:t>TO OR GREATER THAN $ 261,000.00.</w:t>
      </w:r>
    </w:p>
    <w:p>
      <w:pPr>
        <w:pStyle w:val="Normal"/>
        <w:widowControl/>
        <w:rPr>
          <w:rFonts w:eastAsia="Calibri" w:eastAsiaTheme="minorHAnsi"/>
          <w:b/>
          <w:b/>
          <w:bCs/>
          <w:color w:val="3D3D3D"/>
          <w:sz w:val="24"/>
          <w:szCs w:val="24"/>
        </w:rPr>
      </w:pPr>
      <w:r>
        <w:rPr>
          <w:rFonts w:eastAsia="Calibri" w:eastAsiaTheme="minorHAnsi"/>
          <w:b/>
          <w:bCs/>
          <w:color w:val="3D3D3D"/>
          <w:sz w:val="24"/>
          <w:szCs w:val="24"/>
        </w:rPr>
      </w:r>
    </w:p>
    <w:p>
      <w:pPr>
        <w:pStyle w:val="Normal"/>
        <w:widowControl/>
        <w:rPr>
          <w:rFonts w:eastAsia="Calibri" w:eastAsiaTheme="minorHAnsi"/>
          <w:color w:val="3D3D3D"/>
          <w:sz w:val="24"/>
          <w:szCs w:val="24"/>
        </w:rPr>
      </w:pPr>
      <w:r>
        <w:rPr>
          <w:rFonts w:eastAsia="Calibri" w:eastAsiaTheme="minorHAnsi"/>
          <w:color w:val="3D3D3D"/>
          <w:sz w:val="24"/>
          <w:szCs w:val="24"/>
        </w:rPr>
        <w:t>10</w:t>
      </w:r>
      <w:r>
        <w:rPr>
          <w:rFonts w:eastAsia="Calibri" w:eastAsiaTheme="minorHAnsi"/>
          <w:color w:val="3D3D3D"/>
          <w:sz w:val="24"/>
          <w:szCs w:val="24"/>
        </w:rPr>
        <w:t xml:space="preserve">. The Baudin Defendants erroneously assert that if the control of the state litigation belonged </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rPr>
          <w:rFonts w:eastAsia="Calibri" w:eastAsiaTheme="minorHAnsi"/>
          <w:color w:val="3D3D3D"/>
          <w:sz w:val="24"/>
          <w:szCs w:val="24"/>
        </w:rPr>
      </w:pPr>
      <w:r>
        <w:rPr>
          <w:rFonts w:eastAsia="Calibri" w:eastAsiaTheme="minorHAnsi"/>
          <w:color w:val="3D3D3D"/>
          <w:sz w:val="24"/>
          <w:szCs w:val="24"/>
        </w:rPr>
        <w:t>to the Bankruptcy Estate any such loss was to the Estate and not directly to Plaintiff Dulberg.</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rPr>
          <w:rFonts w:eastAsia="Calibri" w:eastAsiaTheme="minorHAnsi"/>
          <w:color w:val="3D3D3D"/>
          <w:sz w:val="24"/>
          <w:szCs w:val="24"/>
        </w:rPr>
      </w:pPr>
      <w:r>
        <w:rPr>
          <w:rFonts w:eastAsia="Calibri" w:eastAsiaTheme="minorHAnsi"/>
          <w:color w:val="3D3D3D"/>
          <w:sz w:val="24"/>
          <w:szCs w:val="24"/>
        </w:rPr>
        <w:t>11</w:t>
      </w:r>
      <w:r>
        <w:rPr>
          <w:rFonts w:eastAsia="Calibri" w:eastAsiaTheme="minorHAnsi"/>
          <w:color w:val="3D3D3D"/>
          <w:sz w:val="24"/>
          <w:szCs w:val="24"/>
        </w:rPr>
        <w:t>. That assertion is untrue for the following reasons:</w:t>
      </w:r>
    </w:p>
    <w:p>
      <w:pPr>
        <w:pStyle w:val="Normal"/>
        <w:widowControl/>
        <w:rPr>
          <w:rFonts w:eastAsia="Calibri" w:eastAsiaTheme="minorHAnsi"/>
          <w:color w:val="3D3D3D"/>
          <w:sz w:val="24"/>
          <w:szCs w:val="24"/>
        </w:rPr>
      </w:pPr>
      <w:r>
        <w:rPr>
          <w:rFonts w:eastAsia="Calibri" w:eastAsiaTheme="minorHAnsi"/>
          <w:color w:val="3D3D3D"/>
          <w:sz w:val="24"/>
          <w:szCs w:val="24"/>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(a)</w:t>
      </w:r>
      <w:r>
        <w:rPr>
          <w:rFonts w:eastAsia="Calibri" w:eastAsiaTheme="minorHAnsi"/>
          <w:color w:val="3D3D3D"/>
          <w:sz w:val="24"/>
          <w:szCs w:val="24"/>
        </w:rPr>
        <w:t xml:space="preserve">  From the very beginning Plaintiff’s Bankruptcy was declared to be an “Asset” estate</w:t>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 xml:space="preserve"> </w:t>
      </w:r>
      <w:r>
        <w:rPr>
          <w:rFonts w:eastAsia="Calibri" w:eastAsiaTheme="minorHAnsi"/>
          <w:color w:val="3D3D3D"/>
          <w:sz w:val="24"/>
          <w:szCs w:val="24"/>
        </w:rPr>
        <w:t>because his non-exempt assets were greater than what Plaintiff owed to his unsecured</w:t>
      </w:r>
    </w:p>
    <w:p>
      <w:pPr>
        <w:pStyle w:val="Normal"/>
        <w:widowControl/>
        <w:ind w:left="720" w:hanging="0"/>
        <w:rPr>
          <w:rFonts w:eastAsia="Calibri" w:eastAsiaTheme="minorHAnsi"/>
          <w:color w:val="3D3D3D"/>
          <w:sz w:val="24"/>
          <w:szCs w:val="24"/>
        </w:rPr>
      </w:pPr>
      <w:r>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 xml:space="preserve"> </w:t>
      </w:r>
      <w:r>
        <w:rPr>
          <w:rFonts w:eastAsia="Calibri" w:eastAsiaTheme="minorHAnsi"/>
          <w:color w:val="3D3D3D"/>
          <w:sz w:val="24"/>
          <w:szCs w:val="24"/>
        </w:rPr>
        <w:t>creditors;</w:t>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(b)</w:t>
      </w:r>
      <w:r>
        <w:rPr>
          <w:rFonts w:eastAsia="Calibri" w:eastAsiaTheme="minorHAnsi"/>
          <w:color w:val="3D3D3D"/>
          <w:sz w:val="24"/>
          <w:szCs w:val="24"/>
        </w:rPr>
        <w:t xml:space="preserve"> Plaintiff’s main assets were a house and the pending state court litigation, which was</w:t>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 xml:space="preserve"> </w:t>
      </w:r>
      <w:r>
        <w:rPr>
          <w:rFonts w:eastAsia="Calibri" w:eastAsiaTheme="minorHAnsi"/>
          <w:color w:val="3D3D3D"/>
          <w:sz w:val="24"/>
          <w:szCs w:val="24"/>
        </w:rPr>
        <w:t>valued as $660,000.00 by the Binding Mediation Judge and in the absence of Jury</w:t>
      </w:r>
    </w:p>
    <w:p>
      <w:pPr>
        <w:pStyle w:val="Normal"/>
        <w:widowControl/>
        <w:ind w:left="720" w:hanging="0"/>
        <w:rPr>
          <w:rFonts w:eastAsia="Calibri" w:eastAsiaTheme="minorHAnsi"/>
          <w:color w:val="3D3D3D"/>
          <w:sz w:val="24"/>
          <w:szCs w:val="24"/>
        </w:rPr>
      </w:pPr>
      <w:r>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 xml:space="preserve"> </w:t>
      </w:r>
      <w:r>
        <w:rPr>
          <w:rFonts w:eastAsia="Calibri" w:eastAsiaTheme="minorHAnsi"/>
          <w:color w:val="3D3D3D"/>
          <w:sz w:val="24"/>
          <w:szCs w:val="24"/>
        </w:rPr>
        <w:t>Verdict (the jury verdict research if the matter was taken before a jury, as Plaintiff</w:t>
      </w:r>
    </w:p>
    <w:p>
      <w:pPr>
        <w:pStyle w:val="Normal"/>
        <w:widowControl/>
        <w:ind w:left="720" w:hanging="0"/>
        <w:rPr>
          <w:rFonts w:eastAsia="Calibri" w:eastAsiaTheme="minorHAnsi"/>
          <w:color w:val="3D3D3D"/>
          <w:sz w:val="24"/>
          <w:szCs w:val="24"/>
        </w:rPr>
      </w:pPr>
      <w:r>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 xml:space="preserve"> </w:t>
      </w:r>
      <w:r>
        <w:rPr>
          <w:rFonts w:eastAsia="Calibri" w:eastAsiaTheme="minorHAnsi"/>
          <w:color w:val="3D3D3D"/>
          <w:sz w:val="24"/>
          <w:szCs w:val="24"/>
        </w:rPr>
        <w:t>desired ) was many times the Binding Mediation Judge’s evaluation.</w:t>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(c)</w:t>
      </w:r>
      <w:r>
        <w:rPr>
          <w:rFonts w:eastAsia="Calibri" w:eastAsiaTheme="minorHAnsi"/>
          <w:color w:val="3D3D3D"/>
          <w:sz w:val="24"/>
          <w:szCs w:val="24"/>
        </w:rPr>
        <w:t xml:space="preserve"> This Bankruptcy was a “positive” bankruptcy as Plaintiff lost no assets and all</w:t>
      </w:r>
    </w:p>
    <w:p>
      <w:pPr>
        <w:pStyle w:val="Normal"/>
        <w:widowControl/>
        <w:ind w:left="720" w:hanging="0"/>
        <w:rPr>
          <w:rFonts w:eastAsia="Calibri" w:eastAsiaTheme="minorHAnsi"/>
          <w:color w:val="3D3D3D"/>
          <w:sz w:val="24"/>
          <w:szCs w:val="24"/>
        </w:rPr>
      </w:pPr>
      <w:r>
        <w:rPr/>
      </w:r>
    </w:p>
    <w:p>
      <w:pPr>
        <w:pStyle w:val="Normal"/>
        <w:widowControl/>
        <w:ind w:left="720" w:hanging="0"/>
        <w:rPr>
          <w:rFonts w:eastAsia="Calibri" w:eastAsiaTheme="minorHAnsi"/>
          <w:color w:val="3D3D3D"/>
          <w:sz w:val="24"/>
          <w:szCs w:val="24"/>
        </w:rPr>
      </w:pPr>
      <w:r>
        <w:rPr>
          <w:rFonts w:eastAsia="Calibri" w:eastAsiaTheme="minorHAnsi"/>
          <w:color w:val="3D3D3D"/>
          <w:sz w:val="24"/>
          <w:szCs w:val="24"/>
        </w:rPr>
        <w:t xml:space="preserve"> </w:t>
      </w:r>
      <w:r>
        <w:rPr>
          <w:rFonts w:eastAsia="Calibri" w:eastAsiaTheme="minorHAnsi"/>
          <w:color w:val="3D3D3D"/>
          <w:sz w:val="24"/>
          <w:szCs w:val="24"/>
        </w:rPr>
        <w:t>unsecured creditors were paid if full;</w:t>
      </w:r>
    </w:p>
    <w:p>
      <w:pPr>
        <w:pStyle w:val="Normal"/>
        <w:widowControl/>
        <w:ind w:left="720" w:hanging="0"/>
        <w:rPr>
          <w:rFonts w:eastAsia="HiddenHorzOCR"/>
          <w:color w:val="595959"/>
          <w:sz w:val="24"/>
          <w:szCs w:val="24"/>
        </w:rPr>
      </w:pPr>
      <w:r>
        <w:rPr>
          <w:rFonts w:eastAsia="HiddenHorzOCR"/>
          <w:color w:val="595959"/>
          <w:sz w:val="24"/>
          <w:szCs w:val="24"/>
        </w:rPr>
      </w:r>
    </w:p>
    <w:p>
      <w:pPr>
        <w:pStyle w:val="TextBody"/>
        <w:spacing w:before="91" w:after="0"/>
        <w:ind w:left="720" w:hanging="0"/>
        <w:rPr>
          <w:spacing w:val="-2"/>
          <w:w w:val="110"/>
          <w:sz w:val="24"/>
          <w:szCs w:val="24"/>
        </w:rPr>
      </w:pPr>
      <w:r>
        <w:rPr>
          <w:spacing w:val="-2"/>
          <w:w w:val="110"/>
          <w:sz w:val="24"/>
          <w:szCs w:val="24"/>
        </w:rPr>
        <w:t xml:space="preserve">(d) </w:t>
      </w:r>
      <w:r>
        <w:rPr>
          <w:spacing w:val="-2"/>
          <w:w w:val="110"/>
          <w:sz w:val="24"/>
          <w:szCs w:val="24"/>
        </w:rPr>
        <w:t>Plaintiff was paid in excess of  $117,000.00 by the Olsen Defendant in his role</w:t>
      </w:r>
    </w:p>
    <w:p>
      <w:pPr>
        <w:pStyle w:val="TextBody"/>
        <w:spacing w:before="91" w:after="0"/>
        <w:ind w:left="720" w:hanging="0"/>
        <w:rPr>
          <w:spacing w:val="-2"/>
          <w:w w:val="110"/>
          <w:sz w:val="24"/>
          <w:szCs w:val="24"/>
        </w:rPr>
      </w:pPr>
      <w:r>
        <w:rPr/>
      </w:r>
    </w:p>
    <w:p>
      <w:pPr>
        <w:pStyle w:val="TextBody"/>
        <w:spacing w:before="91" w:after="0"/>
        <w:ind w:left="720" w:hanging="0"/>
        <w:rPr>
          <w:spacing w:val="-2"/>
          <w:w w:val="110"/>
          <w:sz w:val="24"/>
          <w:szCs w:val="24"/>
        </w:rPr>
      </w:pPr>
      <w:r>
        <w:rPr>
          <w:spacing w:val="-2"/>
          <w:w w:val="110"/>
          <w:sz w:val="24"/>
          <w:szCs w:val="24"/>
        </w:rPr>
        <w:t xml:space="preserve"> </w:t>
      </w:r>
      <w:r>
        <w:rPr>
          <w:spacing w:val="-2"/>
          <w:w w:val="110"/>
          <w:sz w:val="24"/>
          <w:szCs w:val="24"/>
        </w:rPr>
        <w:t>as Chapter 7 Bankruptcy Trustee.</w:t>
      </w:r>
    </w:p>
    <w:p>
      <w:pPr>
        <w:pStyle w:val="TextBody"/>
        <w:spacing w:before="91" w:after="0"/>
        <w:ind w:left="720" w:hanging="0"/>
        <w:rPr>
          <w:spacing w:val="-2"/>
          <w:w w:val="110"/>
          <w:sz w:val="24"/>
          <w:szCs w:val="24"/>
        </w:rPr>
      </w:pPr>
      <w:r>
        <w:rPr>
          <w:spacing w:val="-2"/>
          <w:w w:val="110"/>
          <w:sz w:val="24"/>
          <w:szCs w:val="24"/>
        </w:rPr>
      </w:r>
    </w:p>
    <w:p>
      <w:pPr>
        <w:pStyle w:val="TextBody"/>
        <w:spacing w:before="91" w:after="0"/>
        <w:ind w:left="720" w:hanging="0"/>
        <w:rPr>
          <w:spacing w:val="-2"/>
          <w:w w:val="110"/>
          <w:sz w:val="24"/>
          <w:szCs w:val="24"/>
        </w:rPr>
      </w:pPr>
      <w:r>
        <w:rPr>
          <w:spacing w:val="-2"/>
          <w:w w:val="110"/>
          <w:sz w:val="24"/>
          <w:szCs w:val="24"/>
        </w:rPr>
        <w:t>(e)</w:t>
      </w:r>
      <w:r>
        <w:rPr>
          <w:spacing w:val="-2"/>
          <w:w w:val="110"/>
          <w:sz w:val="24"/>
          <w:szCs w:val="24"/>
        </w:rPr>
        <w:t xml:space="preserve"> Since every dollar lost by entering into a Binding Mediation Agreement with a</w:t>
      </w:r>
    </w:p>
    <w:p>
      <w:pPr>
        <w:pStyle w:val="TextBody"/>
        <w:spacing w:before="91" w:after="0"/>
        <w:ind w:left="720" w:hanging="0"/>
        <w:rPr>
          <w:spacing w:val="-2"/>
          <w:w w:val="110"/>
          <w:sz w:val="24"/>
          <w:szCs w:val="24"/>
        </w:rPr>
      </w:pPr>
      <w:r>
        <w:rPr/>
      </w:r>
    </w:p>
    <w:p>
      <w:pPr>
        <w:pStyle w:val="TextBody"/>
        <w:spacing w:before="91" w:after="0"/>
        <w:ind w:left="720" w:hanging="0"/>
        <w:rPr>
          <w:spacing w:val="-2"/>
          <w:w w:val="110"/>
          <w:sz w:val="24"/>
          <w:szCs w:val="24"/>
        </w:rPr>
      </w:pPr>
      <w:r>
        <w:rPr>
          <w:spacing w:val="-2"/>
          <w:w w:val="110"/>
          <w:sz w:val="24"/>
          <w:szCs w:val="24"/>
        </w:rPr>
        <w:t xml:space="preserve"> </w:t>
      </w:r>
      <w:r>
        <w:rPr>
          <w:spacing w:val="-2"/>
          <w:w w:val="110"/>
          <w:sz w:val="24"/>
          <w:szCs w:val="24"/>
        </w:rPr>
        <w:t>cap of  $300,000.00 is factual evidence that Plaintiff Dulberg suffered actual</w:t>
      </w:r>
    </w:p>
    <w:p>
      <w:pPr>
        <w:pStyle w:val="TextBody"/>
        <w:spacing w:before="91" w:after="0"/>
        <w:ind w:left="720" w:hanging="0"/>
        <w:rPr>
          <w:spacing w:val="-2"/>
          <w:w w:val="110"/>
          <w:sz w:val="24"/>
          <w:szCs w:val="24"/>
        </w:rPr>
      </w:pPr>
      <w:r>
        <w:rPr/>
      </w:r>
    </w:p>
    <w:p>
      <w:pPr>
        <w:pStyle w:val="TextBody"/>
        <w:spacing w:before="91" w:after="0"/>
        <w:ind w:left="720" w:hanging="0"/>
        <w:rPr>
          <w:spacing w:val="-2"/>
          <w:w w:val="110"/>
          <w:sz w:val="24"/>
          <w:szCs w:val="24"/>
        </w:rPr>
      </w:pPr>
      <w:r>
        <w:rPr>
          <w:spacing w:val="-2"/>
          <w:w w:val="110"/>
          <w:sz w:val="24"/>
          <w:szCs w:val="24"/>
        </w:rPr>
        <w:t xml:space="preserve"> </w:t>
      </w:r>
      <w:r>
        <w:rPr>
          <w:spacing w:val="-2"/>
          <w:w w:val="110"/>
          <w:sz w:val="24"/>
          <w:szCs w:val="24"/>
        </w:rPr>
        <w:t xml:space="preserve">damages, which amount of loss and consequentially more damages, but also more </w:t>
      </w:r>
    </w:p>
    <w:p>
      <w:pPr>
        <w:pStyle w:val="TextBody"/>
        <w:spacing w:before="91" w:after="0"/>
        <w:ind w:left="720" w:hanging="0"/>
        <w:rPr>
          <w:spacing w:val="-2"/>
          <w:w w:val="110"/>
          <w:sz w:val="24"/>
          <w:szCs w:val="24"/>
        </w:rPr>
      </w:pPr>
      <w:r>
        <w:rPr/>
      </w:r>
    </w:p>
    <w:p>
      <w:pPr>
        <w:pStyle w:val="TextBody"/>
        <w:spacing w:before="91" w:after="0"/>
        <w:ind w:left="720" w:hanging="0"/>
        <w:rPr>
          <w:spacing w:val="-2"/>
          <w:w w:val="110"/>
          <w:sz w:val="24"/>
          <w:szCs w:val="24"/>
        </w:rPr>
      </w:pPr>
      <w:r>
        <w:rPr>
          <w:spacing w:val="-2"/>
          <w:w w:val="110"/>
          <w:sz w:val="24"/>
          <w:szCs w:val="24"/>
        </w:rPr>
        <w:t xml:space="preserve"> </w:t>
      </w:r>
      <w:r>
        <w:rPr>
          <w:spacing w:val="-2"/>
          <w:w w:val="110"/>
          <w:sz w:val="24"/>
          <w:szCs w:val="24"/>
        </w:rPr>
        <w:t>speculative, would be the additional loss by forcing Plaintiff into Binding (capped)</w:t>
      </w:r>
    </w:p>
    <w:p>
      <w:pPr>
        <w:pStyle w:val="TextBody"/>
        <w:spacing w:before="91" w:after="0"/>
        <w:ind w:left="720" w:hanging="0"/>
        <w:rPr>
          <w:spacing w:val="-2"/>
          <w:w w:val="110"/>
          <w:sz w:val="24"/>
          <w:szCs w:val="24"/>
        </w:rPr>
      </w:pPr>
      <w:r>
        <w:rPr/>
      </w:r>
    </w:p>
    <w:p>
      <w:pPr>
        <w:pStyle w:val="TextBody"/>
        <w:spacing w:before="91" w:after="0"/>
        <w:ind w:left="720" w:hanging="0"/>
        <w:rPr>
          <w:spacing w:val="-2"/>
          <w:w w:val="110"/>
          <w:sz w:val="24"/>
          <w:szCs w:val="24"/>
        </w:rPr>
      </w:pPr>
      <w:r>
        <w:rPr>
          <w:spacing w:val="-2"/>
          <w:w w:val="110"/>
          <w:sz w:val="24"/>
          <w:szCs w:val="24"/>
        </w:rPr>
        <w:t xml:space="preserve"> </w:t>
      </w:r>
      <w:r>
        <w:rPr>
          <w:spacing w:val="-2"/>
          <w:w w:val="110"/>
          <w:sz w:val="24"/>
          <w:szCs w:val="24"/>
        </w:rPr>
        <w:t xml:space="preserve">Mediation thus eliminating  the promised and desired jury trial. (Jury verdicts for </w:t>
      </w:r>
    </w:p>
    <w:p>
      <w:pPr>
        <w:pStyle w:val="TextBody"/>
        <w:spacing w:before="91" w:after="0"/>
        <w:ind w:left="720" w:hanging="0"/>
        <w:rPr>
          <w:spacing w:val="-2"/>
          <w:w w:val="110"/>
          <w:sz w:val="24"/>
          <w:szCs w:val="24"/>
        </w:rPr>
      </w:pPr>
      <w:r>
        <w:rPr/>
      </w:r>
    </w:p>
    <w:p>
      <w:pPr>
        <w:pStyle w:val="TextBody"/>
        <w:spacing w:before="91" w:after="0"/>
        <w:ind w:left="720" w:hanging="0"/>
        <w:rPr>
          <w:spacing w:val="-2"/>
          <w:w w:val="110"/>
          <w:sz w:val="24"/>
          <w:szCs w:val="24"/>
        </w:rPr>
      </w:pPr>
      <w:r>
        <w:rPr>
          <w:spacing w:val="-2"/>
          <w:w w:val="110"/>
          <w:sz w:val="24"/>
          <w:szCs w:val="24"/>
        </w:rPr>
        <w:t xml:space="preserve"> </w:t>
      </w:r>
      <w:r>
        <w:rPr>
          <w:spacing w:val="-2"/>
          <w:w w:val="110"/>
          <w:sz w:val="24"/>
          <w:szCs w:val="24"/>
        </w:rPr>
        <w:t xml:space="preserve">like injuries as Plaintiff suffered in  McHenry County, Illinois in a like time frame </w:t>
      </w:r>
    </w:p>
    <w:p>
      <w:pPr>
        <w:pStyle w:val="TextBody"/>
        <w:spacing w:before="91" w:after="0"/>
        <w:ind w:left="720" w:hanging="0"/>
        <w:rPr>
          <w:spacing w:val="-2"/>
          <w:w w:val="110"/>
          <w:sz w:val="24"/>
          <w:szCs w:val="24"/>
        </w:rPr>
      </w:pPr>
      <w:r>
        <w:rPr/>
      </w:r>
    </w:p>
    <w:p>
      <w:pPr>
        <w:pStyle w:val="TextBody"/>
        <w:spacing w:before="91" w:after="0"/>
        <w:ind w:left="720" w:hanging="0"/>
        <w:rPr>
          <w:spacing w:val="-2"/>
          <w:w w:val="110"/>
          <w:sz w:val="24"/>
          <w:szCs w:val="24"/>
        </w:rPr>
      </w:pPr>
      <w:r>
        <w:rPr>
          <w:spacing w:val="-2"/>
          <w:w w:val="110"/>
          <w:sz w:val="24"/>
          <w:szCs w:val="24"/>
        </w:rPr>
        <w:t>were in multiples of millions of dollars  which would surely have maximized the</w:t>
      </w:r>
    </w:p>
    <w:p>
      <w:pPr>
        <w:pStyle w:val="TextBody"/>
        <w:spacing w:before="91" w:after="0"/>
        <w:ind w:left="720" w:hanging="0"/>
        <w:rPr>
          <w:spacing w:val="-2"/>
          <w:w w:val="110"/>
          <w:sz w:val="24"/>
          <w:szCs w:val="24"/>
        </w:rPr>
      </w:pPr>
      <w:r>
        <w:rPr/>
      </w:r>
    </w:p>
    <w:p>
      <w:pPr>
        <w:pStyle w:val="TextBody"/>
        <w:spacing w:before="91" w:after="0"/>
        <w:ind w:left="720" w:hanging="0"/>
        <w:rPr>
          <w:spacing w:val="-2"/>
          <w:w w:val="110"/>
          <w:sz w:val="24"/>
          <w:szCs w:val="24"/>
        </w:rPr>
      </w:pPr>
      <w:r>
        <w:rPr>
          <w:spacing w:val="-2"/>
          <w:w w:val="110"/>
          <w:sz w:val="24"/>
          <w:szCs w:val="24"/>
        </w:rPr>
        <w:t xml:space="preserve"> </w:t>
      </w:r>
      <w:r>
        <w:rPr>
          <w:spacing w:val="-2"/>
          <w:w w:val="110"/>
          <w:sz w:val="24"/>
          <w:szCs w:val="24"/>
        </w:rPr>
        <w:t xml:space="preserve">Bankruptcy Estate.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12</w:t>
      </w:r>
      <w:r>
        <w:rPr>
          <w:spacing w:val="-2"/>
          <w:w w:val="110"/>
          <w:sz w:val="24"/>
          <w:szCs w:val="24"/>
        </w:rPr>
        <w:t xml:space="preserve">. Whether Defendant Trustee Olsen had abandoned the Personal Injury Case is not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needed in this positive asset bankruptcy, although not necessary to refute the Baudin</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Defendants’ first argument, could be ascertained from Defendant Trustee Olsen’s</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 xml:space="preserve">statement to the Bankruptcy Judge that he did not want to </w:t>
      </w:r>
      <w:r>
        <w:rPr>
          <w:b/>
          <w:bCs/>
          <w:i/>
          <w:iCs/>
          <w:spacing w:val="-2"/>
          <w:w w:val="110"/>
          <w:sz w:val="24"/>
          <w:szCs w:val="24"/>
        </w:rPr>
        <w:t xml:space="preserve">micromanage </w:t>
      </w:r>
      <w:r>
        <w:rPr>
          <w:spacing w:val="-2"/>
          <w:w w:val="110"/>
          <w:sz w:val="24"/>
          <w:szCs w:val="24"/>
        </w:rPr>
        <w:t xml:space="preserve">[emphasis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added] the case and his refusal  to sign  the Binding Mediation Agreement after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specifically requesting  authority  </w:t>
      </w:r>
      <w:r>
        <w:rPr>
          <w:b/>
          <w:bCs/>
          <w:i/>
          <w:iCs/>
          <w:spacing w:val="-2"/>
          <w:w w:val="110"/>
          <w:sz w:val="24"/>
          <w:szCs w:val="24"/>
        </w:rPr>
        <w:t>to enter into and execute</w:t>
      </w:r>
      <w:r>
        <w:rPr>
          <w:spacing w:val="-2"/>
          <w:w w:val="110"/>
          <w:sz w:val="24"/>
          <w:szCs w:val="24"/>
        </w:rPr>
        <w:t xml:space="preserve"> [emphasis added] the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Binding Mediation Agreement presented to the Bankruptcy Judge. (Please see Plaintiffs’</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Exhibit 4 Defendant Trustee Olsen’s motion to Enter into a Binding Mediation</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 xml:space="preserve">Agreement found in Plaintiffs’ verified Complaint and the Baudin Defendants’ Exhibit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A). Further evidence is found within the October 31, 2016 Transcript  page 5 line 1-2 as</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Defendant Trustee Olsen stated to the Honorable Thomas M. Lynch that he did not want</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to micromanage his case and page 5 line 5-6 where  the Honorable Thomas M. Lynch</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authorized the Trustee to enter into the Binding Mediation Agreement .  Twice in the</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T</w:t>
      </w:r>
      <w:r>
        <w:rPr>
          <w:spacing w:val="-2"/>
          <w:w w:val="110"/>
          <w:sz w:val="24"/>
          <w:szCs w:val="24"/>
        </w:rPr>
        <w:t xml:space="preserve">ranscript the </w:t>
      </w:r>
      <w:r>
        <w:rPr>
          <w:spacing w:val="-2"/>
          <w:w w:val="110"/>
          <w:sz w:val="24"/>
          <w:szCs w:val="24"/>
        </w:rPr>
        <w:t>T</w:t>
      </w:r>
      <w:r>
        <w:rPr>
          <w:spacing w:val="-2"/>
          <w:w w:val="110"/>
          <w:sz w:val="24"/>
          <w:szCs w:val="24"/>
        </w:rPr>
        <w:t>rustee misrepresents to the Honorable Thomas M. Lynch that Dulberg</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wants it this way” and that Dulberg has no objections.  The Trustee appears to be</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entering into the agreement by deferring to the advice of the Baudin Defendants even</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 xml:space="preserve">though the Baudin Defendants have been working for the last 13 months (and crafted the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agreement) in violation of the automatic stay and the Baudin Defendants had not yet been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retained by the </w:t>
      </w:r>
      <w:r>
        <w:rPr>
          <w:spacing w:val="-2"/>
          <w:w w:val="110"/>
          <w:sz w:val="24"/>
          <w:szCs w:val="24"/>
        </w:rPr>
        <w:t>T</w:t>
      </w:r>
      <w:r>
        <w:rPr>
          <w:spacing w:val="-2"/>
          <w:w w:val="110"/>
          <w:sz w:val="24"/>
          <w:szCs w:val="24"/>
        </w:rPr>
        <w:t xml:space="preserve">rustee.  The </w:t>
      </w:r>
      <w:r>
        <w:rPr>
          <w:spacing w:val="-2"/>
          <w:w w:val="110"/>
          <w:sz w:val="24"/>
          <w:szCs w:val="24"/>
        </w:rPr>
        <w:t>T</w:t>
      </w:r>
      <w:r>
        <w:rPr>
          <w:spacing w:val="-2"/>
          <w:w w:val="110"/>
          <w:sz w:val="24"/>
          <w:szCs w:val="24"/>
        </w:rPr>
        <w:t xml:space="preserve">rustee admits to not knowing much about the agreement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when he says, “But I don't do personal injury ~ Work at all, so I'm not sure how that all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flows through to a jury, but he (Dulberg) didn't seem to want to go through a jury process.</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He liked this process, so ...”  Dulberg did not tell the </w:t>
      </w:r>
      <w:r>
        <w:rPr>
          <w:spacing w:val="-2"/>
          <w:w w:val="110"/>
          <w:sz w:val="24"/>
          <w:szCs w:val="24"/>
        </w:rPr>
        <w:t>T</w:t>
      </w:r>
      <w:r>
        <w:rPr>
          <w:spacing w:val="-2"/>
          <w:w w:val="110"/>
          <w:sz w:val="24"/>
          <w:szCs w:val="24"/>
        </w:rPr>
        <w:t xml:space="preserve">rustee any of this so the </w:t>
      </w:r>
      <w:r>
        <w:rPr>
          <w:spacing w:val="-2"/>
          <w:w w:val="110"/>
          <w:sz w:val="24"/>
          <w:szCs w:val="24"/>
        </w:rPr>
        <w:t>T</w:t>
      </w:r>
      <w:r>
        <w:rPr>
          <w:spacing w:val="-2"/>
          <w:w w:val="110"/>
          <w:sz w:val="24"/>
          <w:szCs w:val="24"/>
        </w:rPr>
        <w:t>rustee</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must have heard this from the Baudin Defendants.  The trustee also appears not to know</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about the agreement when he said, “ Well, I guess the mediators don't know there's a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floor and a ceiling. I'm not sure where that comes from, but that's -- yeah.”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By misrepresenting Dulberg as “not wanting a jury trial” and “not making a good witness”</w:t>
      </w:r>
    </w:p>
    <w:p>
      <w:pPr>
        <w:pStyle w:val="TextBody"/>
        <w:spacing w:before="91" w:after="0"/>
        <w:rPr>
          <w:spacing w:val="-2"/>
          <w:w w:val="110"/>
          <w:sz w:val="24"/>
          <w:szCs w:val="24"/>
        </w:rPr>
      </w:pPr>
      <w:r>
        <w:rPr/>
      </w:r>
    </w:p>
    <w:p>
      <w:pPr>
        <w:pStyle w:val="TextBody"/>
        <w:spacing w:before="91" w:after="0"/>
        <w:rPr>
          <w:spacing w:val="-2"/>
          <w:w w:val="110"/>
          <w:sz w:val="24"/>
          <w:szCs w:val="24"/>
        </w:rPr>
      </w:pPr>
      <w:r>
        <w:rPr>
          <w:spacing w:val="-2"/>
          <w:w w:val="110"/>
          <w:sz w:val="24"/>
          <w:szCs w:val="24"/>
        </w:rPr>
        <w:t>to the judge and by telling the judge that the ADR is something that Dulberg</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wants while Dulberg refused the ADR proposal, the transcript exchange shows the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T</w:t>
      </w:r>
      <w:r>
        <w:rPr>
          <w:spacing w:val="-2"/>
          <w:w w:val="110"/>
          <w:sz w:val="24"/>
          <w:szCs w:val="24"/>
        </w:rPr>
        <w:t>rustee did not “pursue” and “exercise control “over the claim as the Baudin Defendants</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 xml:space="preserve">assert, but rather </w:t>
      </w:r>
      <w:r>
        <w:rPr>
          <w:spacing w:val="-2"/>
          <w:w w:val="110"/>
          <w:sz w:val="24"/>
          <w:szCs w:val="24"/>
        </w:rPr>
        <w:t>appears to do</w:t>
      </w:r>
      <w:r>
        <w:rPr>
          <w:spacing w:val="-2"/>
          <w:w w:val="110"/>
          <w:sz w:val="24"/>
          <w:szCs w:val="24"/>
        </w:rPr>
        <w:t xml:space="preserve"> what the Baudin Defendants advised him to do even</w:t>
      </w:r>
    </w:p>
    <w:p>
      <w:pPr>
        <w:pStyle w:val="TextBody"/>
        <w:spacing w:before="91" w:after="0"/>
        <w:rPr>
          <w:spacing w:val="-2"/>
          <w:w w:val="110"/>
          <w:sz w:val="24"/>
          <w:szCs w:val="24"/>
        </w:rPr>
      </w:pPr>
      <w:r>
        <w:rPr/>
      </w:r>
    </w:p>
    <w:p>
      <w:pPr>
        <w:pStyle w:val="TextBody"/>
        <w:spacing w:before="91" w:after="0"/>
        <w:rPr>
          <w:spacing w:val="-2"/>
          <w:w w:val="110"/>
          <w:sz w:val="24"/>
          <w:szCs w:val="24"/>
        </w:rPr>
      </w:pPr>
      <w:r>
        <w:rPr>
          <w:spacing w:val="-2"/>
          <w:w w:val="110"/>
          <w:sz w:val="24"/>
          <w:szCs w:val="24"/>
        </w:rPr>
        <w:t xml:space="preserve">before the Baudin Defendants were retained by the </w:t>
      </w:r>
      <w:r>
        <w:rPr>
          <w:spacing w:val="-2"/>
          <w:w w:val="110"/>
          <w:sz w:val="24"/>
          <w:szCs w:val="24"/>
        </w:rPr>
        <w:t>T</w:t>
      </w:r>
      <w:r>
        <w:rPr>
          <w:spacing w:val="-2"/>
          <w:w w:val="110"/>
          <w:sz w:val="24"/>
          <w:szCs w:val="24"/>
        </w:rPr>
        <w:t xml:space="preserve">rustee. (Please see Plaintiffs’ Group </w:t>
      </w:r>
    </w:p>
    <w:p>
      <w:pPr>
        <w:pStyle w:val="TextBody"/>
        <w:spacing w:before="91" w:after="0"/>
        <w:rPr>
          <w:spacing w:val="-2"/>
          <w:w w:val="110"/>
          <w:sz w:val="24"/>
          <w:szCs w:val="24"/>
        </w:rPr>
      </w:pPr>
      <w:r>
        <w:rPr/>
      </w:r>
    </w:p>
    <w:p>
      <w:pPr>
        <w:pStyle w:val="TextBody"/>
        <w:spacing w:before="91" w:after="0"/>
        <w:rPr>
          <w:spacing w:val="-2"/>
          <w:w w:val="110"/>
          <w:sz w:val="24"/>
          <w:szCs w:val="24"/>
        </w:rPr>
      </w:pPr>
      <w:r>
        <w:rPr>
          <w:spacing w:val="-2"/>
          <w:w w:val="110"/>
          <w:sz w:val="24"/>
          <w:szCs w:val="24"/>
        </w:rPr>
        <w:t xml:space="preserve">Exhibit 6a found in Plaintiffs’ </w:t>
      </w:r>
      <w:r>
        <w:rPr>
          <w:spacing w:val="-2"/>
          <w:w w:val="110"/>
          <w:sz w:val="24"/>
          <w:szCs w:val="24"/>
        </w:rPr>
        <w:t xml:space="preserve">verified </w:t>
      </w:r>
      <w:r>
        <w:rPr>
          <w:spacing w:val="-2"/>
          <w:w w:val="110"/>
          <w:sz w:val="24"/>
          <w:szCs w:val="24"/>
        </w:rPr>
        <w:t>Complaint and the Baudin Defendants’ Exhibit A).</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r>
    </w:p>
    <w:p>
      <w:pPr>
        <w:pStyle w:val="TextBody"/>
        <w:spacing w:before="91" w:after="0"/>
        <w:rPr>
          <w:b/>
          <w:b/>
          <w:bCs/>
          <w:spacing w:val="-2"/>
          <w:w w:val="110"/>
          <w:sz w:val="24"/>
          <w:szCs w:val="24"/>
        </w:rPr>
      </w:pPr>
      <w:r>
        <w:rPr>
          <w:b/>
          <w:bCs/>
          <w:spacing w:val="-2"/>
          <w:w w:val="110"/>
          <w:sz w:val="24"/>
          <w:szCs w:val="24"/>
        </w:rPr>
        <w:t>THEREFORE, THE BAUDIN DEFENDANTS’ ARGUMENT 1 IS CLEARLY IN OPPOSITE TO THE UNCONTESTED FACTS HEREIN AND AS SUCH SHOULD BE DENIED.</w:t>
      </w:r>
    </w:p>
    <w:p>
      <w:pPr>
        <w:pStyle w:val="TextBody"/>
        <w:spacing w:before="91" w:after="0"/>
        <w:rPr>
          <w:b/>
          <w:b/>
          <w:bCs/>
          <w:spacing w:val="-2"/>
          <w:w w:val="110"/>
          <w:sz w:val="24"/>
          <w:szCs w:val="24"/>
        </w:rPr>
      </w:pPr>
      <w:r>
        <w:rPr>
          <w:b/>
          <w:bCs/>
          <w:spacing w:val="-2"/>
          <w:w w:val="110"/>
          <w:sz w:val="24"/>
          <w:szCs w:val="24"/>
        </w:rPr>
      </w:r>
    </w:p>
    <w:p>
      <w:pPr>
        <w:pStyle w:val="TextBody"/>
        <w:spacing w:before="91" w:after="0"/>
        <w:rPr>
          <w:b/>
          <w:b/>
          <w:bCs/>
          <w:spacing w:val="-2"/>
          <w:w w:val="110"/>
          <w:sz w:val="24"/>
          <w:szCs w:val="24"/>
        </w:rPr>
      </w:pPr>
      <w:r>
        <w:rPr>
          <w:b/>
          <w:bCs/>
          <w:spacing w:val="-2"/>
          <w:w w:val="110"/>
          <w:sz w:val="24"/>
          <w:szCs w:val="24"/>
        </w:rPr>
      </w:r>
    </w:p>
    <w:p>
      <w:pPr>
        <w:pStyle w:val="TextBody"/>
        <w:spacing w:before="91" w:after="0"/>
        <w:rPr>
          <w:b/>
          <w:b/>
          <w:bCs/>
          <w:spacing w:val="-2"/>
          <w:w w:val="110"/>
          <w:sz w:val="24"/>
          <w:szCs w:val="24"/>
        </w:rPr>
      </w:pPr>
      <w:r>
        <w:rPr>
          <w:b/>
          <w:bCs/>
          <w:spacing w:val="-2"/>
          <w:w w:val="110"/>
          <w:sz w:val="24"/>
          <w:szCs w:val="24"/>
        </w:rPr>
      </w:r>
    </w:p>
    <w:p>
      <w:pPr>
        <w:pStyle w:val="TextBody"/>
        <w:spacing w:before="91" w:after="0"/>
        <w:rPr>
          <w:spacing w:val="-2"/>
          <w:w w:val="110"/>
          <w:sz w:val="24"/>
          <w:szCs w:val="24"/>
          <w:u w:val="single"/>
        </w:rPr>
      </w:pPr>
      <w:r>
        <w:rPr>
          <w:b/>
          <w:bCs/>
          <w:spacing w:val="-2"/>
          <w:w w:val="110"/>
          <w:sz w:val="24"/>
          <w:szCs w:val="24"/>
        </w:rPr>
        <w:t>Plaintiffs’ Response to the Baudin Defendants’ second argument is DISMISSAL OF COUNT I and II</w:t>
      </w:r>
      <w:r>
        <w:rPr>
          <w:b/>
          <w:bCs/>
          <w:i/>
          <w:iCs/>
          <w:spacing w:val="-2"/>
          <w:w w:val="110"/>
          <w:sz w:val="24"/>
          <w:szCs w:val="24"/>
        </w:rPr>
        <w:t xml:space="preserve"> </w:t>
      </w:r>
      <w:r>
        <w:rPr>
          <w:b/>
          <w:bCs/>
          <w:i/>
          <w:iCs/>
          <w:spacing w:val="-2"/>
          <w:w w:val="110"/>
          <w:sz w:val="24"/>
          <w:szCs w:val="24"/>
          <w:u w:val="single"/>
        </w:rPr>
        <w:t xml:space="preserve"> IS NOT WARRANTED </w:t>
      </w:r>
      <w:r>
        <w:rPr>
          <w:b/>
          <w:bCs/>
          <w:spacing w:val="-2"/>
          <w:w w:val="110"/>
          <w:sz w:val="24"/>
          <w:szCs w:val="24"/>
        </w:rPr>
        <w:t xml:space="preserve"> PURSUANT TO 735 ILCS5/2-619(a)(5) and 735 ILCS 5/13-214.3 BASED ON THE STATUTES OF LIMITATIONS AND REPOSE.</w:t>
      </w:r>
    </w:p>
    <w:p>
      <w:pPr>
        <w:pStyle w:val="TextBody"/>
        <w:spacing w:before="91" w:after="0"/>
        <w:ind w:left="720" w:hanging="0"/>
        <w:rPr>
          <w:spacing w:val="-2"/>
          <w:w w:val="110"/>
          <w:sz w:val="24"/>
          <w:szCs w:val="24"/>
          <w:u w:val="single"/>
        </w:rPr>
      </w:pPr>
      <w:r>
        <w:rPr>
          <w:spacing w:val="-2"/>
          <w:w w:val="110"/>
          <w:sz w:val="24"/>
          <w:szCs w:val="24"/>
          <w:u w:val="single"/>
        </w:rPr>
      </w:r>
    </w:p>
    <w:p>
      <w:pPr>
        <w:pStyle w:val="TextBody"/>
        <w:spacing w:before="91" w:after="0"/>
        <w:rPr>
          <w:spacing w:val="-2"/>
          <w:w w:val="110"/>
          <w:sz w:val="24"/>
          <w:szCs w:val="24"/>
        </w:rPr>
      </w:pPr>
      <w:r>
        <w:rPr>
          <w:spacing w:val="-2"/>
          <w:w w:val="110"/>
          <w:sz w:val="24"/>
          <w:szCs w:val="24"/>
        </w:rPr>
        <w:t>13.</w:t>
      </w:r>
      <w:r>
        <w:rPr>
          <w:spacing w:val="-2"/>
          <w:w w:val="110"/>
          <w:sz w:val="24"/>
          <w:szCs w:val="24"/>
        </w:rPr>
        <w:t xml:space="preserve"> The Baudin Defendants and the Olsen Defendants concealed their actions under</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the guise of Court Authority to the point the Plaintiff Paul R. Dulberg did not finally</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discover that he had been defrauded until Defendant A</w:t>
      </w:r>
      <w:r>
        <w:rPr>
          <w:spacing w:val="-2"/>
          <w:w w:val="110"/>
          <w:sz w:val="24"/>
          <w:szCs w:val="24"/>
        </w:rPr>
        <w:t>DR</w:t>
      </w:r>
      <w:r>
        <w:rPr>
          <w:spacing w:val="-2"/>
          <w:w w:val="110"/>
          <w:sz w:val="24"/>
          <w:szCs w:val="24"/>
        </w:rPr>
        <w:t xml:space="preserve"> produced the Binding</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 xml:space="preserve">Mediation Agreement contained in their file, dated December 8, 2016, on October 26,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2022.  </w:t>
      </w:r>
      <w:r>
        <w:rPr>
          <w:sz w:val="24"/>
          <w:szCs w:val="24"/>
        </w:rPr>
        <w:t>It should be noted that the Baudin Defendants neither filed an answer denying the validity</w:t>
      </w:r>
    </w:p>
    <w:p>
      <w:pPr>
        <w:pStyle w:val="TextBody"/>
        <w:spacing w:before="91" w:after="0"/>
        <w:rPr>
          <w:spacing w:val="-2"/>
          <w:w w:val="110"/>
          <w:sz w:val="24"/>
          <w:szCs w:val="24"/>
        </w:rPr>
      </w:pPr>
      <w:r>
        <w:rPr/>
      </w:r>
    </w:p>
    <w:p>
      <w:pPr>
        <w:pStyle w:val="TextBody"/>
        <w:spacing w:before="91" w:after="0"/>
        <w:rPr>
          <w:spacing w:val="-2"/>
          <w:w w:val="110"/>
          <w:sz w:val="24"/>
          <w:szCs w:val="24"/>
        </w:rPr>
      </w:pPr>
      <w:r>
        <w:rPr>
          <w:sz w:val="24"/>
          <w:szCs w:val="24"/>
        </w:rPr>
        <w:t>of Exhibit 6 and Exhibit 11 contained within Plaintiffs” verified Complaint, which was also</w:t>
      </w:r>
    </w:p>
    <w:p>
      <w:pPr>
        <w:pStyle w:val="TextBody"/>
        <w:spacing w:before="91" w:after="0"/>
        <w:rPr>
          <w:spacing w:val="-2"/>
          <w:w w:val="110"/>
          <w:sz w:val="24"/>
          <w:szCs w:val="24"/>
        </w:rPr>
      </w:pPr>
      <w:r>
        <w:rPr>
          <w:sz w:val="24"/>
          <w:szCs w:val="24"/>
        </w:rPr>
      </w:r>
    </w:p>
    <w:p>
      <w:pPr>
        <w:pStyle w:val="TextBody"/>
        <w:rPr>
          <w:rFonts w:eastAsia="Calibri" w:eastAsiaTheme="minorHAnsi"/>
          <w:color w:val="313131"/>
          <w:sz w:val="24"/>
          <w:szCs w:val="24"/>
        </w:rPr>
      </w:pPr>
      <w:r>
        <w:rPr>
          <w:sz w:val="24"/>
          <w:szCs w:val="24"/>
        </w:rPr>
        <w:t>attached to the Baudin Defendants’ Motion To Dismiss as Defendants’</w:t>
      </w:r>
      <w:r>
        <w:rPr/>
        <w:t xml:space="preserve"> EXHIBIT A, </w:t>
      </w:r>
      <w:r>
        <w:rPr>
          <w:sz w:val="24"/>
          <w:szCs w:val="24"/>
        </w:rPr>
        <w:t>nor did</w:t>
      </w:r>
      <w:r>
        <w:rPr/>
        <w:t xml:space="preserve"> </w:t>
      </w:r>
    </w:p>
    <w:p>
      <w:pPr>
        <w:pStyle w:val="TextBody"/>
        <w:rPr>
          <w:rFonts w:eastAsia="Calibri" w:eastAsiaTheme="minorHAnsi"/>
          <w:color w:val="313131"/>
          <w:sz w:val="24"/>
          <w:szCs w:val="24"/>
        </w:rPr>
      </w:pPr>
      <w:r>
        <w:rPr/>
      </w:r>
    </w:p>
    <w:p>
      <w:pPr>
        <w:pStyle w:val="TextBody"/>
        <w:rPr>
          <w:spacing w:val="-2"/>
          <w:w w:val="110"/>
          <w:sz w:val="24"/>
          <w:szCs w:val="24"/>
        </w:rPr>
      </w:pPr>
      <w:r>
        <w:rPr>
          <w:rFonts w:eastAsia="Calibri" w:eastAsiaTheme="minorHAnsi"/>
          <w:color w:val="313131"/>
          <w:sz w:val="24"/>
          <w:szCs w:val="24"/>
        </w:rPr>
        <w:t xml:space="preserve">they attach any affidavits disputing the validity of said exhibits. </w:t>
      </w:r>
      <w:r>
        <w:rPr>
          <w:spacing w:val="-2"/>
          <w:w w:val="110"/>
          <w:sz w:val="24"/>
          <w:szCs w:val="24"/>
        </w:rPr>
        <w:t>(Please see Plaintiffs’ Exhibits</w:t>
      </w:r>
    </w:p>
    <w:p>
      <w:pPr>
        <w:pStyle w:val="Normal"/>
        <w:widowControl/>
        <w:rPr>
          <w:spacing w:val="-2"/>
          <w:w w:val="110"/>
          <w:sz w:val="24"/>
          <w:szCs w:val="24"/>
        </w:rPr>
      </w:pPr>
      <w:r>
        <w:rPr>
          <w:spacing w:val="-2"/>
          <w:w w:val="110"/>
          <w:sz w:val="24"/>
          <w:szCs w:val="24"/>
        </w:rPr>
        <w:t xml:space="preserve"> </w:t>
      </w:r>
    </w:p>
    <w:p>
      <w:pPr>
        <w:pStyle w:val="TextBody"/>
        <w:spacing w:before="91" w:after="0"/>
        <w:rPr>
          <w:spacing w:val="-2"/>
          <w:w w:val="110"/>
          <w:sz w:val="24"/>
          <w:szCs w:val="24"/>
        </w:rPr>
      </w:pPr>
      <w:r>
        <w:rPr>
          <w:spacing w:val="-2"/>
          <w:w w:val="110"/>
          <w:sz w:val="24"/>
          <w:szCs w:val="24"/>
        </w:rPr>
        <w:t>6B and Exhibit 11 which are described as the (unsigned) Binding  Arbitration Agreement</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submitted to the Bankruptcy Court Case 14-83578 and the Binding Arbitration</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Agreement allegedly signed by Plaintiff Paul R. Dulberg on December 8, 2016.)</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14.</w:t>
      </w:r>
      <w:r>
        <w:rPr>
          <w:spacing w:val="-2"/>
          <w:w w:val="110"/>
          <w:sz w:val="24"/>
          <w:szCs w:val="24"/>
        </w:rPr>
        <w:t xml:space="preserve"> The Baudin Defendants incorrectly claim that the relevant Statue of Limitation is</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735 ILCS 5/13-214.3(b) but the relevant Statute is the Statute of Repose found at</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 xml:space="preserve">735 ILCS 5/13-214.3(c) because the Plaintiffs’ lawsuit was filed on December 8, 2022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which was within 6 years from the arbitration hearing date of December 8, 2016.</w:t>
      </w:r>
    </w:p>
    <w:p>
      <w:pPr>
        <w:pStyle w:val="TextBody"/>
        <w:spacing w:before="91" w:after="0"/>
        <w:ind w:left="720" w:hanging="0"/>
        <w:rPr>
          <w:spacing w:val="-2"/>
          <w:w w:val="110"/>
          <w:sz w:val="24"/>
          <w:szCs w:val="24"/>
        </w:rPr>
      </w:pPr>
      <w:r>
        <w:rPr>
          <w:spacing w:val="-2"/>
          <w:w w:val="110"/>
          <w:sz w:val="24"/>
          <w:szCs w:val="24"/>
        </w:rPr>
      </w:r>
    </w:p>
    <w:p>
      <w:pPr>
        <w:pStyle w:val="TextBody"/>
        <w:spacing w:before="91" w:after="0"/>
        <w:rPr>
          <w:b/>
          <w:b/>
          <w:bCs/>
          <w:i/>
          <w:i/>
          <w:iCs/>
          <w:spacing w:val="-2"/>
          <w:w w:val="110"/>
          <w:sz w:val="24"/>
          <w:szCs w:val="24"/>
          <w:u w:val="single"/>
        </w:rPr>
      </w:pPr>
      <w:r>
        <w:rPr>
          <w:spacing w:val="-2"/>
          <w:w w:val="110"/>
          <w:sz w:val="24"/>
          <w:szCs w:val="24"/>
        </w:rPr>
        <w:t>15.</w:t>
      </w:r>
      <w:r>
        <w:rPr>
          <w:spacing w:val="-2"/>
          <w:w w:val="110"/>
          <w:sz w:val="24"/>
          <w:szCs w:val="24"/>
        </w:rPr>
        <w:t xml:space="preserve"> </w:t>
      </w:r>
      <w:r>
        <w:rPr>
          <w:spacing w:val="-2"/>
          <w:w w:val="110"/>
          <w:sz w:val="24"/>
          <w:szCs w:val="24"/>
        </w:rPr>
        <w:t>I</w:t>
      </w:r>
      <w:r>
        <w:rPr>
          <w:spacing w:val="-2"/>
          <w:w w:val="110"/>
          <w:sz w:val="24"/>
          <w:szCs w:val="24"/>
        </w:rPr>
        <w:t xml:space="preserve">n the recent decision of the Illinois Supreme Court in </w:t>
      </w:r>
      <w:r>
        <w:rPr>
          <w:b/>
          <w:bCs/>
          <w:i/>
          <w:iCs/>
          <w:spacing w:val="-2"/>
          <w:w w:val="110"/>
          <w:sz w:val="24"/>
          <w:szCs w:val="24"/>
          <w:u w:val="single"/>
        </w:rPr>
        <w:t xml:space="preserve">SUBURBAN REAL </w:t>
      </w:r>
    </w:p>
    <w:p>
      <w:pPr>
        <w:pStyle w:val="TextBody"/>
        <w:spacing w:before="91" w:after="0"/>
        <w:rPr>
          <w:b/>
          <w:b/>
          <w:bCs/>
          <w:i/>
          <w:i/>
          <w:iCs/>
          <w:spacing w:val="-2"/>
          <w:w w:val="110"/>
          <w:sz w:val="24"/>
          <w:szCs w:val="24"/>
          <w:u w:val="single"/>
        </w:rPr>
      </w:pPr>
      <w:r>
        <w:rPr>
          <w:b/>
          <w:bCs/>
          <w:i/>
          <w:iCs/>
          <w:spacing w:val="-2"/>
          <w:w w:val="110"/>
          <w:sz w:val="24"/>
          <w:szCs w:val="24"/>
          <w:u w:val="single"/>
        </w:rPr>
      </w:r>
    </w:p>
    <w:p>
      <w:pPr>
        <w:pStyle w:val="TextBody"/>
        <w:spacing w:before="91" w:after="0"/>
        <w:rPr>
          <w:b/>
          <w:b/>
          <w:bCs/>
          <w:i/>
          <w:i/>
          <w:iCs/>
          <w:spacing w:val="-2"/>
          <w:w w:val="110"/>
          <w:sz w:val="24"/>
          <w:szCs w:val="24"/>
          <w:u w:val="single"/>
        </w:rPr>
      </w:pPr>
      <w:r>
        <w:rPr>
          <w:b/>
          <w:bCs/>
          <w:i/>
          <w:iCs/>
          <w:spacing w:val="-2"/>
          <w:w w:val="110"/>
          <w:sz w:val="24"/>
          <w:szCs w:val="24"/>
          <w:u w:val="single"/>
        </w:rPr>
        <w:t>ESTATE  SERVICES, INC., et. al,  Appellees, v. WILLIAM ROGER CARLSON JR. et</w:t>
      </w:r>
    </w:p>
    <w:p>
      <w:pPr>
        <w:pStyle w:val="TextBody"/>
        <w:spacing w:before="91" w:after="0"/>
        <w:rPr>
          <w:b/>
          <w:b/>
          <w:bCs/>
          <w:i/>
          <w:i/>
          <w:iCs/>
          <w:spacing w:val="-2"/>
          <w:w w:val="110"/>
          <w:sz w:val="24"/>
          <w:szCs w:val="24"/>
          <w:u w:val="single"/>
        </w:rPr>
      </w:pPr>
      <w:r>
        <w:rPr>
          <w:b/>
          <w:bCs/>
          <w:i/>
          <w:iCs/>
          <w:spacing w:val="-2"/>
          <w:w w:val="110"/>
          <w:sz w:val="24"/>
          <w:szCs w:val="24"/>
          <w:u w:val="single"/>
        </w:rPr>
      </w:r>
    </w:p>
    <w:p>
      <w:pPr>
        <w:pStyle w:val="TextBody"/>
        <w:spacing w:before="91" w:after="0"/>
        <w:rPr>
          <w:spacing w:val="-2"/>
          <w:w w:val="110"/>
          <w:sz w:val="24"/>
          <w:szCs w:val="24"/>
        </w:rPr>
      </w:pPr>
      <w:r>
        <w:rPr>
          <w:b/>
          <w:bCs/>
          <w:i/>
          <w:iCs/>
          <w:spacing w:val="-2"/>
          <w:w w:val="110"/>
          <w:sz w:val="24"/>
          <w:szCs w:val="24"/>
          <w:u w:val="single"/>
        </w:rPr>
        <w:t xml:space="preserve"> </w:t>
      </w:r>
      <w:r>
        <w:rPr>
          <w:b/>
          <w:bCs/>
          <w:i/>
          <w:iCs/>
          <w:spacing w:val="-2"/>
          <w:w w:val="110"/>
          <w:sz w:val="24"/>
          <w:szCs w:val="24"/>
          <w:u w:val="single"/>
        </w:rPr>
        <w:t>al, Appellants.2022 IL 126935</w:t>
      </w:r>
      <w:r>
        <w:rPr>
          <w:spacing w:val="-2"/>
          <w:w w:val="110"/>
          <w:sz w:val="24"/>
          <w:szCs w:val="24"/>
        </w:rPr>
        <w:t xml:space="preserve"> the Illinois Supreme Court made it clear  (and therefore </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the  Law of Illinois) that there is a requirement that pecuniary loss be suffered by Plaintiff</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(contrary to the current statute based upon what Plaintiffs knew or should have known)</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before the Statute begins to run when it stated:</w:t>
      </w:r>
    </w:p>
    <w:p>
      <w:pPr>
        <w:pStyle w:val="TextBody"/>
        <w:spacing w:before="91" w:after="0"/>
        <w:ind w:left="720" w:hanging="0"/>
        <w:rPr>
          <w:spacing w:val="-2"/>
          <w:w w:val="110"/>
          <w:sz w:val="24"/>
          <w:szCs w:val="24"/>
        </w:rPr>
      </w:pPr>
      <w:r>
        <w:rPr>
          <w:spacing w:val="-2"/>
          <w:w w:val="110"/>
          <w:sz w:val="24"/>
          <w:szCs w:val="24"/>
        </w:rPr>
      </w:r>
    </w:p>
    <w:p>
      <w:pPr>
        <w:pStyle w:val="TextBody"/>
        <w:spacing w:before="91" w:after="0"/>
        <w:ind w:left="720" w:hanging="0"/>
        <w:rPr>
          <w:spacing w:val="-2"/>
          <w:w w:val="110"/>
          <w:sz w:val="24"/>
          <w:szCs w:val="24"/>
        </w:rPr>
      </w:pPr>
      <w:r>
        <w:rPr>
          <w:spacing w:val="-2"/>
          <w:w w:val="110"/>
          <w:sz w:val="24"/>
          <w:szCs w:val="24"/>
        </w:rPr>
        <w:t xml:space="preserve">¶ 1 In this case, we consider whether a legal malpractice claim was barred by the two-year statute of limitations in section 13-214.3(b) of the Code of Civil </w:t>
      </w:r>
      <w:r>
        <w:rPr>
          <w:spacing w:val="-2"/>
          <w:w w:val="110"/>
          <w:sz w:val="24"/>
          <w:szCs w:val="24"/>
        </w:rPr>
        <w:t>P</w:t>
      </w:r>
      <w:r>
        <w:rPr>
          <w:spacing w:val="-2"/>
          <w:w w:val="110"/>
          <w:sz w:val="24"/>
          <w:szCs w:val="24"/>
        </w:rPr>
        <w:t xml:space="preserve">rocedure (735ILCS 5/13-214.3(b) (West 2016)). The Cook County circuit court found that the limitations period on the claim had expired because plaintiffs’ payment of attorney fees to new counsel constituted an injury triggering the statute. The appellate court reversed, finding that no realized injury that would  trigger the limitations period existed until there was an adverse judgment in the underlying action. 2020 IL App (1st) 191953. For the following reasons, we affirm the appellate court’s judgment. </w:t>
      </w:r>
    </w:p>
    <w:p>
      <w:pPr>
        <w:pStyle w:val="TextBody"/>
        <w:spacing w:before="91" w:after="0"/>
        <w:ind w:left="720" w:hanging="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16.</w:t>
      </w:r>
      <w:r>
        <w:rPr>
          <w:spacing w:val="-2"/>
          <w:w w:val="110"/>
          <w:sz w:val="24"/>
          <w:szCs w:val="24"/>
        </w:rPr>
        <w:t xml:space="preserve"> There are pled facts which removes this case from the limitation period advanced</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by the Baudin Defendants, 735 ILCS 5/13-214.3(b) and into the limitation periods of 735</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ILCS 5/13(e) and 735 ILCS 5/13(f) because Plaintiff Paul R. Dulberg was found disabled</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as of June 28, 2011, which is also his current status, by the Social  Security</w:t>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 xml:space="preserve"> </w:t>
      </w:r>
      <w:r>
        <w:rPr>
          <w:spacing w:val="-2"/>
          <w:w w:val="110"/>
          <w:sz w:val="24"/>
          <w:szCs w:val="24"/>
        </w:rPr>
        <w:t>Administration  of the United States. (Please see Exhibit I attached)</w:t>
      </w:r>
    </w:p>
    <w:p>
      <w:pPr>
        <w:pStyle w:val="TextBody"/>
        <w:spacing w:before="91" w:after="0"/>
        <w:rPr>
          <w:spacing w:val="-2"/>
          <w:w w:val="110"/>
          <w:sz w:val="24"/>
          <w:szCs w:val="24"/>
        </w:rPr>
      </w:pPr>
      <w:r>
        <w:rPr>
          <w:spacing w:val="-2"/>
          <w:w w:val="110"/>
          <w:sz w:val="24"/>
          <w:szCs w:val="24"/>
        </w:rPr>
      </w:r>
    </w:p>
    <w:p>
      <w:pPr>
        <w:pStyle w:val="TextBody"/>
        <w:spacing w:before="91" w:after="0"/>
        <w:rPr>
          <w:rStyle w:val="HTMLCode"/>
          <w:sz w:val="24"/>
          <w:szCs w:val="24"/>
          <w:shd w:fill="FFFFFF" w:val="clear"/>
        </w:rPr>
      </w:pPr>
      <w:r>
        <w:rPr>
          <w:rStyle w:val="HTMLCode"/>
          <w:sz w:val="24"/>
          <w:szCs w:val="24"/>
          <w:shd w:fill="FFFFFF" w:val="clear"/>
        </w:rPr>
        <w:t>735 ILCS 5/13(e) If the person entitled to bring the action is</w:t>
      </w:r>
    </w:p>
    <w:p>
      <w:pPr>
        <w:pStyle w:val="TextBody"/>
        <w:spacing w:before="91" w:after="0"/>
        <w:rPr>
          <w:rStyle w:val="HTMLCode"/>
          <w:sz w:val="24"/>
          <w:szCs w:val="24"/>
          <w:shd w:fill="FFFFFF" w:val="clear"/>
        </w:rPr>
      </w:pPr>
      <w:r>
        <w:rPr>
          <w:rStyle w:val="HTMLCode"/>
          <w:sz w:val="24"/>
          <w:szCs w:val="24"/>
          <w:shd w:fill="FFFFFF" w:val="clear"/>
        </w:rPr>
        <w:t>under the age of majority or under other legal disability at</w:t>
      </w:r>
    </w:p>
    <w:p>
      <w:pPr>
        <w:pStyle w:val="TextBody"/>
        <w:spacing w:before="91" w:after="0"/>
        <w:rPr>
          <w:rStyle w:val="HTMLCode"/>
          <w:sz w:val="24"/>
          <w:szCs w:val="24"/>
          <w:shd w:fill="FFFFFF" w:val="clear"/>
        </w:rPr>
      </w:pPr>
      <w:r>
        <w:rPr>
          <w:rStyle w:val="HTMLCode"/>
          <w:sz w:val="24"/>
          <w:szCs w:val="24"/>
          <w:shd w:fill="FFFFFF" w:val="clear"/>
        </w:rPr>
        <w:t>the time the cause of action accrues, the period of limitations</w:t>
      </w:r>
    </w:p>
    <w:p>
      <w:pPr>
        <w:pStyle w:val="TextBody"/>
        <w:spacing w:before="91" w:after="0"/>
        <w:rPr>
          <w:rStyle w:val="HTMLCode"/>
          <w:sz w:val="24"/>
          <w:szCs w:val="24"/>
          <w:shd w:fill="FFFFFF" w:val="clear"/>
        </w:rPr>
      </w:pPr>
      <w:r>
        <w:rPr>
          <w:rStyle w:val="HTMLCode"/>
          <w:sz w:val="24"/>
          <w:szCs w:val="24"/>
          <w:shd w:fill="FFFFFF" w:val="clear"/>
        </w:rPr>
        <w:t xml:space="preserve"> </w:t>
      </w:r>
      <w:r>
        <w:rPr>
          <w:rStyle w:val="HTMLCode"/>
          <w:sz w:val="24"/>
          <w:szCs w:val="24"/>
          <w:shd w:fill="FFFFFF" w:val="clear"/>
        </w:rPr>
        <w:t>shall not begin to run until majority is attained or the</w:t>
      </w:r>
    </w:p>
    <w:p>
      <w:pPr>
        <w:pStyle w:val="TextBody"/>
        <w:spacing w:before="91" w:after="0"/>
        <w:rPr>
          <w:rStyle w:val="HTMLCode"/>
          <w:sz w:val="24"/>
          <w:szCs w:val="24"/>
          <w:shd w:fill="FFFFFF" w:val="clear"/>
        </w:rPr>
      </w:pPr>
      <w:r>
        <w:rPr>
          <w:rStyle w:val="HTMLCode"/>
          <w:sz w:val="24"/>
          <w:szCs w:val="24"/>
          <w:shd w:fill="FFFFFF" w:val="clear"/>
        </w:rPr>
        <w:t xml:space="preserve"> </w:t>
      </w:r>
      <w:r>
        <w:rPr>
          <w:rStyle w:val="HTMLCode"/>
          <w:sz w:val="24"/>
          <w:szCs w:val="24"/>
          <w:shd w:fill="FFFFFF" w:val="clear"/>
        </w:rPr>
        <w:t>disability is removed.</w:t>
      </w:r>
    </w:p>
    <w:p>
      <w:pPr>
        <w:pStyle w:val="TextBody"/>
        <w:spacing w:before="91" w:after="0"/>
        <w:rPr>
          <w:rStyle w:val="HTMLCode"/>
          <w:sz w:val="24"/>
          <w:szCs w:val="24"/>
          <w:shd w:fill="FFFFFF" w:val="clear"/>
        </w:rPr>
      </w:pPr>
      <w:r>
        <w:rPr>
          <w:sz w:val="24"/>
          <w:szCs w:val="24"/>
          <w:shd w:fill="FFFFFF" w:val="clear"/>
        </w:rPr>
      </w:r>
    </w:p>
    <w:p>
      <w:pPr>
        <w:pStyle w:val="TextBody"/>
        <w:tabs>
          <w:tab w:val="left" w:pos="720" w:leader="none"/>
        </w:tabs>
        <w:spacing w:before="91" w:after="0"/>
        <w:rPr>
          <w:rStyle w:val="HTMLCode"/>
          <w:sz w:val="24"/>
          <w:szCs w:val="24"/>
          <w:shd w:fill="FFFFFF" w:val="clear"/>
        </w:rPr>
      </w:pPr>
      <w:r>
        <w:rPr>
          <w:rStyle w:val="HTMLCode"/>
          <w:sz w:val="24"/>
          <w:szCs w:val="24"/>
          <w:shd w:fill="FFFFFF" w:val="clear"/>
        </w:rPr>
        <w:t>735 ILCS 5/13(f) If the person entitled to bring an action</w:t>
      </w:r>
    </w:p>
    <w:p>
      <w:pPr>
        <w:pStyle w:val="TextBody"/>
        <w:tabs>
          <w:tab w:val="left" w:pos="720" w:leader="none"/>
        </w:tabs>
        <w:spacing w:before="91" w:after="0"/>
        <w:rPr>
          <w:rStyle w:val="HTMLCode"/>
          <w:sz w:val="24"/>
          <w:szCs w:val="24"/>
          <w:shd w:fill="FFFFFF" w:val="clear"/>
        </w:rPr>
      </w:pPr>
      <w:r>
        <w:rPr>
          <w:rStyle w:val="HTMLCode"/>
          <w:sz w:val="24"/>
          <w:szCs w:val="24"/>
          <w:shd w:fill="FFFFFF" w:val="clear"/>
        </w:rPr>
        <w:t>described in this Section is not under a legal disability at</w:t>
      </w:r>
    </w:p>
    <w:p>
      <w:pPr>
        <w:pStyle w:val="TextBody"/>
        <w:tabs>
          <w:tab w:val="left" w:pos="720" w:leader="none"/>
        </w:tabs>
        <w:spacing w:before="91" w:after="0"/>
        <w:rPr>
          <w:rStyle w:val="HTMLCode"/>
          <w:sz w:val="24"/>
          <w:szCs w:val="24"/>
          <w:shd w:fill="FFFFFF" w:val="clear"/>
        </w:rPr>
      </w:pPr>
      <w:r>
        <w:rPr>
          <w:rStyle w:val="HTMLCode"/>
          <w:sz w:val="24"/>
          <w:szCs w:val="24"/>
          <w:shd w:fill="FFFFFF" w:val="clear"/>
        </w:rPr>
        <w:t>the time the cause of action accrues but becomes under a legal</w:t>
      </w:r>
    </w:p>
    <w:p>
      <w:pPr>
        <w:pStyle w:val="TextBody"/>
        <w:tabs>
          <w:tab w:val="left" w:pos="720" w:leader="none"/>
        </w:tabs>
        <w:spacing w:before="91" w:after="0"/>
        <w:rPr>
          <w:rStyle w:val="HTMLCode"/>
          <w:sz w:val="24"/>
          <w:szCs w:val="24"/>
          <w:shd w:fill="FFFFFF" w:val="clear"/>
        </w:rPr>
      </w:pPr>
      <w:r>
        <w:rPr>
          <w:rStyle w:val="HTMLCode"/>
          <w:sz w:val="24"/>
          <w:szCs w:val="24"/>
          <w:shd w:fill="FFFFFF" w:val="clear"/>
        </w:rPr>
        <w:t>disability before the period of limitations otherwise runs, the</w:t>
      </w:r>
    </w:p>
    <w:p>
      <w:pPr>
        <w:pStyle w:val="TextBody"/>
        <w:tabs>
          <w:tab w:val="left" w:pos="720" w:leader="none"/>
        </w:tabs>
        <w:spacing w:before="91" w:after="0"/>
        <w:rPr>
          <w:rStyle w:val="HTMLCode"/>
          <w:sz w:val="24"/>
          <w:szCs w:val="24"/>
          <w:shd w:fill="FFFFFF" w:val="clear"/>
        </w:rPr>
      </w:pPr>
      <w:r>
        <w:rPr>
          <w:rStyle w:val="HTMLCode"/>
          <w:sz w:val="24"/>
          <w:szCs w:val="24"/>
          <w:shd w:fill="FFFFFF" w:val="clear"/>
        </w:rPr>
        <w:t>period of limitations is stayed until the disability is removed.</w:t>
      </w:r>
    </w:p>
    <w:p>
      <w:pPr>
        <w:pStyle w:val="TextBody"/>
        <w:tabs>
          <w:tab w:val="left" w:pos="720" w:leader="none"/>
        </w:tabs>
        <w:spacing w:before="91" w:after="0"/>
        <w:rPr>
          <w:rStyle w:val="HTMLCode"/>
          <w:sz w:val="24"/>
          <w:szCs w:val="24"/>
          <w:shd w:fill="FFFFFF" w:val="clear"/>
        </w:rPr>
      </w:pPr>
      <w:r>
        <w:rPr>
          <w:rStyle w:val="HTMLCode"/>
          <w:sz w:val="24"/>
          <w:szCs w:val="24"/>
          <w:shd w:fill="FFFFFF" w:val="clear"/>
        </w:rPr>
        <w:t>This subsection (f) does not invalidate any statute of repose</w:t>
      </w:r>
    </w:p>
    <w:p>
      <w:pPr>
        <w:pStyle w:val="TextBody"/>
        <w:tabs>
          <w:tab w:val="left" w:pos="720" w:leader="none"/>
        </w:tabs>
        <w:spacing w:before="91" w:after="0"/>
        <w:rPr>
          <w:rStyle w:val="HTMLCode"/>
          <w:sz w:val="24"/>
          <w:szCs w:val="24"/>
          <w:shd w:fill="FFFFFF" w:val="clear"/>
        </w:rPr>
      </w:pPr>
      <w:r>
        <w:rPr>
          <w:rStyle w:val="HTMLCode"/>
          <w:sz w:val="24"/>
          <w:szCs w:val="24"/>
          <w:shd w:fill="FFFFFF" w:val="clear"/>
        </w:rPr>
        <w:t>provisions contained in this Section. This subsection (f)applies</w:t>
      </w:r>
    </w:p>
    <w:p>
      <w:pPr>
        <w:pStyle w:val="TextBody"/>
        <w:tabs>
          <w:tab w:val="left" w:pos="720" w:leader="none"/>
        </w:tabs>
        <w:spacing w:before="91" w:after="0"/>
        <w:rPr>
          <w:spacing w:val="-2"/>
          <w:w w:val="110"/>
          <w:sz w:val="24"/>
          <w:szCs w:val="24"/>
        </w:rPr>
      </w:pPr>
      <w:r>
        <w:rPr>
          <w:rStyle w:val="HTMLCode"/>
          <w:sz w:val="24"/>
          <w:szCs w:val="24"/>
          <w:shd w:fill="FFFFFF" w:val="clear"/>
        </w:rPr>
        <w:t>to actions commenced or pending on or after January 1, 2015 (the effective date of Public Act 98-1077).</w:t>
      </w:r>
      <w:r>
        <w:rPr>
          <w:spacing w:val="-2"/>
          <w:w w:val="110"/>
          <w:sz w:val="24"/>
          <w:szCs w:val="24"/>
        </w:rPr>
        <w:t xml:space="preserve"> </w:t>
      </w:r>
    </w:p>
    <w:p>
      <w:pPr>
        <w:pStyle w:val="TextBody"/>
        <w:tabs>
          <w:tab w:val="left" w:pos="720" w:leader="none"/>
        </w:tabs>
        <w:spacing w:before="91" w:after="0"/>
        <w:ind w:left="720" w:hanging="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17.</w:t>
      </w:r>
      <w:r>
        <w:rPr>
          <w:spacing w:val="-2"/>
          <w:w w:val="110"/>
          <w:sz w:val="24"/>
          <w:szCs w:val="24"/>
        </w:rPr>
        <w:t xml:space="preserve"> The </w:t>
      </w:r>
      <w:r>
        <w:rPr>
          <w:spacing w:val="-2"/>
          <w:w w:val="110"/>
          <w:sz w:val="24"/>
          <w:szCs w:val="24"/>
        </w:rPr>
        <w:t>f</w:t>
      </w:r>
      <w:r>
        <w:rPr>
          <w:spacing w:val="-2"/>
          <w:w w:val="110"/>
          <w:sz w:val="24"/>
          <w:szCs w:val="24"/>
        </w:rPr>
        <w:t xml:space="preserve">act that Plaintiff Paul R Dulberg was found to be </w:t>
      </w:r>
      <w:r>
        <w:rPr>
          <w:spacing w:val="-2"/>
          <w:w w:val="110"/>
          <w:sz w:val="24"/>
          <w:szCs w:val="24"/>
        </w:rPr>
        <w:t xml:space="preserve">fully and permanently </w:t>
      </w:r>
      <w:r>
        <w:rPr>
          <w:spacing w:val="-2"/>
          <w:w w:val="110"/>
          <w:sz w:val="24"/>
          <w:szCs w:val="24"/>
        </w:rPr>
        <w:t>disabled</w:t>
      </w:r>
    </w:p>
    <w:p>
      <w:pPr>
        <w:pStyle w:val="TextBody"/>
        <w:spacing w:before="91" w:after="0"/>
        <w:rPr>
          <w:spacing w:val="-2"/>
          <w:w w:val="110"/>
          <w:sz w:val="24"/>
          <w:szCs w:val="24"/>
        </w:rPr>
      </w:pPr>
      <w:r>
        <w:rPr/>
      </w:r>
    </w:p>
    <w:p>
      <w:pPr>
        <w:pStyle w:val="TextBody"/>
        <w:spacing w:before="91" w:after="0"/>
        <w:rPr>
          <w:spacing w:val="-2"/>
          <w:w w:val="110"/>
          <w:sz w:val="24"/>
          <w:szCs w:val="24"/>
        </w:rPr>
      </w:pPr>
      <w:r>
        <w:rPr>
          <w:spacing w:val="-2"/>
          <w:w w:val="110"/>
          <w:sz w:val="24"/>
          <w:szCs w:val="24"/>
        </w:rPr>
        <w:t xml:space="preserve">as of June 28, 2011 and forward demonstrates that at all times relevant to all activities </w:t>
      </w:r>
    </w:p>
    <w:p>
      <w:pPr>
        <w:pStyle w:val="TextBody"/>
        <w:spacing w:before="91" w:after="0"/>
        <w:rPr>
          <w:spacing w:val="-2"/>
          <w:w w:val="110"/>
          <w:sz w:val="24"/>
          <w:szCs w:val="24"/>
        </w:rPr>
      </w:pPr>
      <w:r>
        <w:rPr/>
      </w:r>
    </w:p>
    <w:p>
      <w:pPr>
        <w:pStyle w:val="TextBody"/>
        <w:spacing w:before="91" w:after="0"/>
        <w:rPr>
          <w:spacing w:val="-2"/>
          <w:w w:val="110"/>
          <w:sz w:val="24"/>
          <w:szCs w:val="24"/>
        </w:rPr>
      </w:pPr>
      <w:r>
        <w:rPr>
          <w:spacing w:val="-2"/>
          <w:w w:val="110"/>
          <w:sz w:val="24"/>
          <w:szCs w:val="24"/>
        </w:rPr>
        <w:t xml:space="preserve">complained of Plaintiff  Paul R. Dulberg was a disabled person.  </w:t>
      </w:r>
    </w:p>
    <w:p>
      <w:pPr>
        <w:pStyle w:val="TextBody"/>
        <w:spacing w:before="91" w:after="0"/>
        <w:ind w:left="720" w:hanging="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t>18.</w:t>
      </w:r>
      <w:r>
        <w:rPr>
          <w:spacing w:val="-2"/>
          <w:w w:val="110"/>
          <w:sz w:val="24"/>
          <w:szCs w:val="24"/>
        </w:rPr>
        <w:t xml:space="preserve"> The term “under legal disability” is defined as follows:</w:t>
      </w:r>
    </w:p>
    <w:p>
      <w:pPr>
        <w:pStyle w:val="TextBody"/>
        <w:spacing w:before="91" w:after="0"/>
        <w:ind w:left="720" w:hanging="0"/>
        <w:rPr>
          <w:spacing w:val="-2"/>
          <w:w w:val="110"/>
          <w:sz w:val="24"/>
          <w:szCs w:val="24"/>
        </w:rPr>
      </w:pPr>
      <w:r>
        <w:rPr>
          <w:spacing w:val="-2"/>
          <w:w w:val="110"/>
          <w:sz w:val="24"/>
          <w:szCs w:val="24"/>
        </w:rPr>
      </w:r>
    </w:p>
    <w:p>
      <w:pPr>
        <w:pStyle w:val="TextBody"/>
        <w:spacing w:before="91" w:after="0"/>
        <w:ind w:left="2160" w:firstLine="720"/>
        <w:rPr>
          <w:spacing w:val="-2"/>
          <w:w w:val="110"/>
          <w:sz w:val="24"/>
          <w:szCs w:val="24"/>
        </w:rPr>
      </w:pPr>
      <w:r>
        <w:rPr>
          <w:b/>
          <w:bCs/>
          <w:sz w:val="24"/>
          <w:szCs w:val="24"/>
          <w:shd w:fill="FFFFFF" w:val="clear"/>
        </w:rPr>
        <w:t>GENERAL PROVISIONS</w:t>
      </w:r>
      <w:r>
        <w:rPr>
          <w:b/>
          <w:bCs/>
          <w:sz w:val="24"/>
          <w:szCs w:val="24"/>
        </w:rPr>
        <w:br/>
      </w:r>
      <w:r>
        <w:rPr>
          <w:b/>
          <w:bCs/>
          <w:sz w:val="24"/>
          <w:szCs w:val="24"/>
          <w:shd w:fill="FFFFFF" w:val="clear"/>
        </w:rPr>
        <w:t xml:space="preserve">       (5 ILCS 70/) Statute on Statutes.</w:t>
      </w:r>
    </w:p>
    <w:p>
      <w:pPr>
        <w:pStyle w:val="TextBody"/>
        <w:spacing w:before="91" w:after="0"/>
        <w:rPr>
          <w:rStyle w:val="HTMLCode"/>
          <w:sz w:val="24"/>
          <w:szCs w:val="24"/>
          <w:shd w:fill="FFFFFF" w:val="clear"/>
        </w:rPr>
      </w:pPr>
      <w:r>
        <w:rPr>
          <w:rStyle w:val="HTMLCode"/>
          <w:sz w:val="24"/>
          <w:szCs w:val="24"/>
          <w:shd w:fill="FFFFFF" w:val="clear"/>
        </w:rPr>
        <w:t>5 ILCS 70/1.06)</w:t>
      </w:r>
      <w:r>
        <w:rPr>
          <w:sz w:val="24"/>
          <w:szCs w:val="24"/>
          <w:shd w:fill="FFFFFF" w:val="clear"/>
        </w:rPr>
        <w:t> </w:t>
      </w:r>
      <w:r>
        <w:rPr>
          <w:rStyle w:val="HTMLCode"/>
          <w:sz w:val="24"/>
          <w:szCs w:val="24"/>
          <w:shd w:fill="FFFFFF" w:val="clear"/>
        </w:rPr>
        <w:t>(from Ch. 1, par. 1007) Sec. 1.06. "Person under legal disability" means a person 18 years or older who (a) because of mental deterioration or physical incapacity is not fully able to manage his or her person or estate, or (b) is a person with mental illness or is a person with developmental disabilities and who because of his or her mental illness or developmental disability is not fully able to manage his or her person or estate, or (c) because of gambling, idleness, debauchery or excessive use of intoxicants or drugs, so spends or wastes his or her estate as to expose himself or herself or his or her family to want or suffering.</w:t>
      </w:r>
      <w:r>
        <w:rPr>
          <w:sz w:val="24"/>
          <w:szCs w:val="24"/>
        </w:rPr>
        <w:br/>
      </w:r>
      <w:r>
        <w:rPr>
          <w:rStyle w:val="HTMLCode"/>
          <w:sz w:val="24"/>
          <w:szCs w:val="24"/>
          <w:shd w:fill="FFFFFF" w:val="clear"/>
        </w:rPr>
        <w:t>Source: P.A. 88-380.)</w:t>
      </w:r>
    </w:p>
    <w:p>
      <w:pPr>
        <w:pStyle w:val="TextBody"/>
        <w:spacing w:before="91" w:after="0"/>
        <w:ind w:left="81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19.</w:t>
      </w:r>
      <w:r>
        <w:rPr>
          <w:spacing w:val="-2"/>
          <w:w w:val="110"/>
          <w:sz w:val="24"/>
          <w:szCs w:val="24"/>
        </w:rPr>
        <w:t xml:space="preserve"> Additionally, both the Olsen Defendants and the Baudin Defendants have </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 xml:space="preserve"> </w:t>
      </w:r>
      <w:r>
        <w:rPr>
          <w:spacing w:val="-2"/>
          <w:w w:val="110"/>
          <w:sz w:val="24"/>
          <w:szCs w:val="24"/>
        </w:rPr>
        <w:t>been alleged to have committed fraudulent actions and the limitations periods do</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 xml:space="preserve"> </w:t>
      </w:r>
      <w:r>
        <w:rPr>
          <w:spacing w:val="-2"/>
          <w:w w:val="110"/>
          <w:sz w:val="24"/>
          <w:szCs w:val="24"/>
        </w:rPr>
        <w:t xml:space="preserve">not begin until the fraud is discovered pursuant to the </w:t>
      </w:r>
      <w:r>
        <w:rPr>
          <w:b/>
          <w:bCs/>
          <w:i/>
          <w:iCs/>
          <w:spacing w:val="-2"/>
          <w:w w:val="110"/>
          <w:sz w:val="24"/>
          <w:szCs w:val="24"/>
        </w:rPr>
        <w:t xml:space="preserve">Discovery Rule </w:t>
      </w:r>
      <w:r>
        <w:rPr>
          <w:spacing w:val="-2"/>
          <w:w w:val="110"/>
          <w:sz w:val="24"/>
          <w:szCs w:val="24"/>
        </w:rPr>
        <w:t>[emphasis</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 xml:space="preserve"> </w:t>
      </w:r>
      <w:r>
        <w:rPr>
          <w:spacing w:val="-2"/>
          <w:w w:val="110"/>
          <w:sz w:val="24"/>
          <w:szCs w:val="24"/>
        </w:rPr>
        <w:t>added] said fraudulent activities were discovered on October 26, 2022 when</w:t>
      </w:r>
    </w:p>
    <w:p>
      <w:pPr>
        <w:pStyle w:val="TextBody"/>
        <w:tabs>
          <w:tab w:val="clear" w:pos="720"/>
          <w:tab w:val="left" w:pos="810" w:leader="none"/>
        </w:tabs>
        <w:spacing w:before="91" w:after="0"/>
        <w:ind w:left="72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 xml:space="preserve"> </w:t>
      </w:r>
      <w:r>
        <w:rPr>
          <w:spacing w:val="-2"/>
          <w:w w:val="110"/>
          <w:sz w:val="24"/>
          <w:szCs w:val="24"/>
        </w:rPr>
        <w:t>Defendant ADR submitted its file copy of the Binding  Mediation Agreement</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allegedly executed on  December 8, 2016  and it was compared to the Binding</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Arbitration Agreement  presented to the Bankruptcy Court on October 31, 2016.</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(Please see  Plaintiffs’ Exhibits 6b and Exhibit 11 (the Binding  Arbitration</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Agreement submitted to the Bankruptcy Court in Case 14-83578 by Defendant</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t>Trustee Joseph D. Olsen and the Binding Arbitration Agreement allegedly signed</w:t>
      </w:r>
    </w:p>
    <w:p>
      <w:pPr>
        <w:pStyle w:val="TextBody"/>
        <w:tabs>
          <w:tab w:val="clear" w:pos="720"/>
          <w:tab w:val="left" w:pos="810" w:leader="none"/>
        </w:tabs>
        <w:spacing w:before="91" w:after="0"/>
        <w:ind w:left="0" w:hanging="0"/>
        <w:rPr>
          <w:spacing w:val="-2"/>
          <w:w w:val="110"/>
          <w:sz w:val="24"/>
          <w:szCs w:val="24"/>
        </w:rPr>
      </w:pPr>
      <w:r>
        <w:rPr>
          <w:spacing w:val="-2"/>
          <w:w w:val="110"/>
          <w:sz w:val="24"/>
          <w:szCs w:val="24"/>
        </w:rPr>
      </w:r>
    </w:p>
    <w:p>
      <w:pPr>
        <w:pStyle w:val="TextBody"/>
        <w:tabs>
          <w:tab w:val="clear" w:pos="720"/>
          <w:tab w:val="left" w:pos="810" w:leader="none"/>
        </w:tabs>
        <w:spacing w:before="91" w:after="0"/>
        <w:rPr>
          <w:spacing w:val="-2"/>
          <w:w w:val="110"/>
          <w:sz w:val="24"/>
          <w:szCs w:val="24"/>
        </w:rPr>
      </w:pPr>
      <w:r>
        <w:rPr>
          <w:spacing w:val="-2"/>
          <w:w w:val="110"/>
          <w:sz w:val="24"/>
          <w:szCs w:val="24"/>
        </w:rPr>
        <w:t>by Plaintiff Paul R. Dulberg on December 8, 2016. Both documents are attached to</w:t>
      </w:r>
    </w:p>
    <w:p>
      <w:pPr>
        <w:pStyle w:val="TextBody"/>
        <w:tabs>
          <w:tab w:val="clear" w:pos="720"/>
          <w:tab w:val="left" w:pos="810" w:leader="none"/>
        </w:tabs>
        <w:spacing w:before="91" w:after="0"/>
        <w:rPr>
          <w:spacing w:val="-2"/>
          <w:w w:val="110"/>
          <w:sz w:val="24"/>
          <w:szCs w:val="24"/>
        </w:rPr>
      </w:pPr>
      <w:r>
        <w:rPr/>
      </w:r>
    </w:p>
    <w:p>
      <w:pPr>
        <w:pStyle w:val="TextBody"/>
        <w:tabs>
          <w:tab w:val="clear" w:pos="720"/>
          <w:tab w:val="left" w:pos="810" w:leader="none"/>
        </w:tabs>
        <w:spacing w:before="91" w:after="0"/>
        <w:rPr>
          <w:spacing w:val="-2"/>
          <w:w w:val="110"/>
          <w:sz w:val="24"/>
          <w:szCs w:val="24"/>
        </w:rPr>
      </w:pPr>
      <w:r>
        <w:rPr>
          <w:spacing w:val="-2"/>
          <w:w w:val="110"/>
          <w:sz w:val="24"/>
          <w:szCs w:val="24"/>
        </w:rPr>
        <w:t>Plaintiffs’ Complaint at Law as Exhibits 6b and 11 and subsequently attached to the</w:t>
      </w:r>
    </w:p>
    <w:p>
      <w:pPr>
        <w:pStyle w:val="TextBody"/>
        <w:tabs>
          <w:tab w:val="clear" w:pos="720"/>
          <w:tab w:val="left" w:pos="810" w:leader="none"/>
        </w:tabs>
        <w:spacing w:before="91" w:after="0"/>
        <w:rPr>
          <w:spacing w:val="-2"/>
          <w:w w:val="110"/>
          <w:sz w:val="24"/>
          <w:szCs w:val="24"/>
        </w:rPr>
      </w:pPr>
      <w:r>
        <w:rPr/>
      </w:r>
    </w:p>
    <w:p>
      <w:pPr>
        <w:pStyle w:val="TextBody"/>
        <w:tabs>
          <w:tab w:val="clear" w:pos="720"/>
          <w:tab w:val="left" w:pos="810" w:leader="none"/>
        </w:tabs>
        <w:spacing w:before="91" w:after="0"/>
        <w:rPr>
          <w:spacing w:val="-2"/>
          <w:w w:val="110"/>
          <w:sz w:val="24"/>
          <w:szCs w:val="24"/>
        </w:rPr>
      </w:pPr>
      <w:r>
        <w:rPr>
          <w:spacing w:val="-2"/>
          <w:w w:val="110"/>
          <w:sz w:val="24"/>
          <w:szCs w:val="24"/>
        </w:rPr>
        <w:t>Baudin Defendants’ Motion to Dismiss Exhibit A 6b and Exhibit A 11.)</w:t>
      </w:r>
    </w:p>
    <w:p>
      <w:pPr>
        <w:pStyle w:val="TextBody"/>
        <w:tabs>
          <w:tab w:val="left" w:pos="720" w:leader="none"/>
          <w:tab w:val="left" w:pos="810" w:leader="none"/>
        </w:tabs>
        <w:spacing w:before="91" w:after="0"/>
        <w:ind w:left="720" w:hanging="0"/>
        <w:rPr>
          <w:spacing w:val="-2"/>
          <w:w w:val="110"/>
          <w:sz w:val="24"/>
          <w:szCs w:val="24"/>
        </w:rPr>
      </w:pPr>
      <w:r>
        <w:rPr>
          <w:spacing w:val="-2"/>
          <w:w w:val="110"/>
          <w:sz w:val="24"/>
          <w:szCs w:val="24"/>
        </w:rPr>
      </w:r>
    </w:p>
    <w:p>
      <w:pPr>
        <w:pStyle w:val="TextBody"/>
        <w:tabs>
          <w:tab w:val="left" w:pos="720" w:leader="none"/>
          <w:tab w:val="left" w:pos="810" w:leader="none"/>
        </w:tabs>
        <w:spacing w:before="91" w:after="0"/>
        <w:rPr>
          <w:spacing w:val="-2"/>
          <w:w w:val="110"/>
          <w:sz w:val="24"/>
          <w:szCs w:val="24"/>
        </w:rPr>
      </w:pPr>
      <w:r>
        <w:rPr>
          <w:spacing w:val="-2"/>
          <w:w w:val="110"/>
          <w:sz w:val="24"/>
          <w:szCs w:val="24"/>
        </w:rPr>
        <w:t>20.</w:t>
      </w:r>
      <w:r>
        <w:rPr>
          <w:spacing w:val="-2"/>
          <w:w w:val="110"/>
          <w:sz w:val="24"/>
          <w:szCs w:val="24"/>
        </w:rPr>
        <w:t xml:space="preserve"> The Statute of Limitations for fraud is 5 years as follows:</w:t>
      </w:r>
    </w:p>
    <w:p>
      <w:pPr>
        <w:pStyle w:val="TextBody"/>
        <w:tabs>
          <w:tab w:val="left" w:pos="720" w:leader="none"/>
          <w:tab w:val="left" w:pos="810" w:leader="none"/>
        </w:tabs>
        <w:spacing w:before="91" w:after="0"/>
        <w:rPr>
          <w:spacing w:val="-2"/>
          <w:w w:val="110"/>
          <w:sz w:val="24"/>
          <w:szCs w:val="24"/>
        </w:rPr>
      </w:pPr>
      <w:r>
        <w:rPr/>
      </w:r>
    </w:p>
    <w:p>
      <w:pPr>
        <w:pStyle w:val="Normal"/>
        <w:widowControl/>
        <w:rPr>
          <w:sz w:val="24"/>
          <w:szCs w:val="24"/>
        </w:rPr>
      </w:pPr>
      <w:r>
        <w:rPr>
          <w:sz w:val="24"/>
          <w:szCs w:val="24"/>
        </w:rPr>
      </w:r>
    </w:p>
    <w:tbl>
      <w:tblPr>
        <w:tblW w:w="6976" w:type="dxa"/>
        <w:jc w:val="center"/>
        <w:tblInd w:w="0" w:type="dxa"/>
        <w:tblLayout w:type="fixed"/>
        <w:tblCellMar>
          <w:top w:w="0" w:type="dxa"/>
          <w:left w:w="0" w:type="dxa"/>
          <w:bottom w:w="0" w:type="dxa"/>
          <w:right w:w="0" w:type="dxa"/>
        </w:tblCellMar>
        <w:tblLook w:firstRow="1" w:noVBand="1" w:lastRow="0" w:firstColumn="1" w:lastColumn="0" w:noHBand="0" w:val="04a0"/>
      </w:tblPr>
      <w:tblGrid>
        <w:gridCol w:w="973"/>
        <w:gridCol w:w="4164"/>
        <w:gridCol w:w="1838"/>
      </w:tblGrid>
      <w:tr>
        <w:trPr/>
        <w:tc>
          <w:tcPr>
            <w:tcW w:w="5137" w:type="dxa"/>
            <w:gridSpan w:val="2"/>
            <w:tcBorders/>
            <w:shd w:color="auto" w:fill="FFFFFF" w:val="clear"/>
            <w:vAlign w:val="center"/>
          </w:tcPr>
          <w:p>
            <w:pPr>
              <w:pStyle w:val="ListParagraph"/>
              <w:widowControl w:val="false"/>
              <w:numPr>
                <w:ilvl w:val="0"/>
                <w:numId w:val="3"/>
              </w:numPr>
              <w:rPr>
                <w:sz w:val="24"/>
                <w:szCs w:val="24"/>
              </w:rPr>
            </w:pPr>
            <w:r>
              <w:rPr>
                <w:sz w:val="24"/>
                <w:szCs w:val="24"/>
              </w:rPr>
              <w:t>ICS 5/13-205) (from Ch. 110, par. 13-205)</w:t>
              <w:br/>
              <w:t>    Sec. 13-205. Five-year limitation. Except as provided in Section 2-725 of the "Uniform Commercial Code", approved July 31, 1961, as amended, and Section 11-13 of "The Illinois Public Aid Code", approved April 11, 1967, as amended, actions on unwritten contracts, expressed or implied, or on awards of arbitration, or to recover damages for an injury done to property, real or personal, or to recover the possession of personal property or damages for the detention or conversion thereof, and all civil actions not otherwise provided for, shall be commenced within 5 years next after the cause of action accrued.</w:t>
              <w:br/>
              <w:t>(Source: P.A. 82-280.)</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TextBody"/>
              <w:widowControl w:val="false"/>
              <w:spacing w:before="91" w:after="0"/>
              <w:rPr>
                <w:b/>
                <w:b/>
                <w:bCs/>
                <w:spacing w:val="-2"/>
                <w:w w:val="110"/>
                <w:sz w:val="24"/>
                <w:szCs w:val="24"/>
              </w:rPr>
            </w:pPr>
            <w:r>
              <w:rPr>
                <w:b/>
                <w:bCs/>
                <w:spacing w:val="-2"/>
                <w:w w:val="110"/>
                <w:sz w:val="24"/>
                <w:szCs w:val="24"/>
              </w:rPr>
              <w:t>THEREFORE, THE BAUDIN DEFENDANTS’ ARGUMENT 2 FAILS BECAUSE PLAINTIFFS DID NOT VIOLATE 735 ILCS 5/13-214.3 AND AS SUCH SHOULD BE DENIED.</w:t>
            </w:r>
          </w:p>
          <w:p>
            <w:pPr>
              <w:pStyle w:val="TextBody"/>
              <w:widowControl w:val="false"/>
              <w:spacing w:before="91" w:after="0"/>
              <w:rPr>
                <w:b/>
                <w:b/>
                <w:bCs/>
                <w:spacing w:val="-2"/>
                <w:w w:val="110"/>
                <w:sz w:val="24"/>
                <w:szCs w:val="24"/>
              </w:rPr>
            </w:pPr>
            <w:r>
              <w:rPr>
                <w:b/>
                <w:bCs/>
                <w:spacing w:val="-2"/>
                <w:w w:val="110"/>
                <w:sz w:val="24"/>
                <w:szCs w:val="24"/>
              </w:rPr>
            </w:r>
          </w:p>
          <w:p>
            <w:pPr>
              <w:pStyle w:val="TextBody"/>
              <w:widowControl w:val="false"/>
              <w:spacing w:before="91" w:after="0"/>
              <w:rPr>
                <w:b/>
                <w:b/>
                <w:bCs/>
                <w:spacing w:val="-2"/>
                <w:w w:val="110"/>
                <w:sz w:val="24"/>
                <w:szCs w:val="24"/>
              </w:rPr>
            </w:pPr>
            <w:r>
              <w:rPr>
                <w:b/>
                <w:bCs/>
                <w:spacing w:val="-2"/>
                <w:w w:val="110"/>
                <w:sz w:val="24"/>
                <w:szCs w:val="24"/>
              </w:rPr>
            </w:r>
          </w:p>
          <w:p>
            <w:pPr>
              <w:pStyle w:val="TextBody"/>
              <w:widowControl w:val="false"/>
              <w:spacing w:before="91" w:after="0"/>
              <w:rPr>
                <w:b/>
                <w:b/>
                <w:bCs/>
                <w:spacing w:val="-2"/>
                <w:w w:val="110"/>
                <w:sz w:val="24"/>
                <w:szCs w:val="24"/>
              </w:rPr>
            </w:pPr>
            <w:r>
              <w:rPr>
                <w:b/>
                <w:bCs/>
                <w:spacing w:val="-2"/>
                <w:w w:val="110"/>
                <w:sz w:val="24"/>
                <w:szCs w:val="24"/>
              </w:rPr>
            </w:r>
          </w:p>
          <w:p>
            <w:pPr>
              <w:pStyle w:val="TextBody"/>
              <w:widowControl w:val="false"/>
              <w:spacing w:before="91" w:after="0"/>
              <w:rPr>
                <w:b/>
                <w:b/>
                <w:bCs/>
                <w:spacing w:val="-2"/>
                <w:w w:val="110"/>
                <w:sz w:val="24"/>
                <w:szCs w:val="24"/>
              </w:rPr>
            </w:pPr>
            <w:r>
              <w:rPr>
                <w:b/>
                <w:bCs/>
                <w:spacing w:val="-2"/>
                <w:w w:val="110"/>
                <w:sz w:val="24"/>
                <w:szCs w:val="24"/>
              </w:rPr>
            </w:r>
          </w:p>
          <w:p>
            <w:pPr>
              <w:pStyle w:val="TextBody"/>
              <w:widowControl w:val="false"/>
              <w:spacing w:before="91" w:after="0"/>
              <w:rPr>
                <w:b/>
                <w:b/>
                <w:bCs/>
                <w:spacing w:val="-2"/>
                <w:w w:val="110"/>
                <w:sz w:val="24"/>
                <w:szCs w:val="24"/>
              </w:rPr>
            </w:pPr>
            <w:r>
              <w:rPr>
                <w:b/>
                <w:bCs/>
                <w:spacing w:val="-2"/>
                <w:w w:val="110"/>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rFonts w:ascii="TimesNewRomanPSMT" w:hAnsi="TimesNewRomanPSMT" w:eastAsia="Calibri" w:cs="TimesNewRomanPSMT" w:eastAsiaTheme="minorHAnsi"/>
                <w:sz w:val="24"/>
                <w:szCs w:val="24"/>
              </w:rPr>
            </w:pPr>
            <w:r>
              <w:rPr>
                <w:rFonts w:eastAsia="Calibri" w:cs="TimesNewRomanPSMT" w:eastAsiaTheme="minorHAnsi" w:ascii="TimesNewRomanPSMT" w:hAnsi="TimesNewRomanPSMT"/>
                <w:sz w:val="24"/>
                <w:szCs w:val="24"/>
              </w:rPr>
            </w:r>
          </w:p>
          <w:p>
            <w:pPr>
              <w:pStyle w:val="Normal"/>
              <w:widowControl w:val="false"/>
              <w:rPr>
                <w:rFonts w:ascii="TimesNewRomanPSMT" w:hAnsi="TimesNewRomanPSMT" w:eastAsia="Calibri" w:cs="TimesNewRomanPSMT" w:eastAsiaTheme="minorHAnsi"/>
                <w:sz w:val="24"/>
                <w:szCs w:val="24"/>
              </w:rPr>
            </w:pPr>
            <w:r>
              <w:rPr>
                <w:rFonts w:eastAsia="Calibri" w:cs="TimesNewRomanPSMT" w:eastAsiaTheme="minorHAnsi" w:ascii="TimesNewRomanPSMT" w:hAnsi="TimesNewRomanPSMT"/>
                <w:sz w:val="24"/>
                <w:szCs w:val="24"/>
              </w:rPr>
            </w:r>
          </w:p>
          <w:p>
            <w:pPr>
              <w:pStyle w:val="Normal"/>
              <w:widowControl w:val="false"/>
              <w:rPr>
                <w:rFonts w:eastAsia="Calibri" w:eastAsiaTheme="minorHAnsi"/>
                <w:sz w:val="24"/>
                <w:szCs w:val="24"/>
              </w:rPr>
            </w:pPr>
            <w:r>
              <w:rPr>
                <w:rFonts w:eastAsia="Calibri" w:eastAsiaTheme="minorHAnsi"/>
                <w:sz w:val="24"/>
                <w:szCs w:val="24"/>
              </w:rPr>
            </w:r>
          </w:p>
          <w:p>
            <w:pPr>
              <w:pStyle w:val="Normal"/>
              <w:widowControl w:val="false"/>
              <w:rPr>
                <w:color w:val="000000"/>
                <w:sz w:val="24"/>
                <w:szCs w:val="24"/>
                <w:shd w:fill="FFFFFF" w:val="clear"/>
              </w:rPr>
            </w:pPr>
            <w:r>
              <w:rPr>
                <w:rFonts w:eastAsia="Calibri" w:eastAsiaTheme="minorHAnsi"/>
                <w:sz w:val="24"/>
                <w:szCs w:val="24"/>
              </w:rPr>
              <w:t xml:space="preserve">   </w:t>
            </w:r>
            <w:r>
              <w:rPr>
                <w:rFonts w:eastAsia="Calibri" w:eastAsiaTheme="minorHAnsi"/>
                <w:sz w:val="24"/>
                <w:szCs w:val="24"/>
              </w:rPr>
              <w:t xml:space="preserve">WHEREFORE,  Plaintiffs PAUL R. DULBERG, INDIVIDUALLY AND THE PAUL R. DULBERG REVOCABLE TRUST that this Honorable Court Deny The </w:t>
            </w:r>
            <w:r>
              <w:rPr>
                <w:rFonts w:eastAsia="Calibri" w:eastAsiaTheme="minorHAnsi"/>
                <w:sz w:val="24"/>
                <w:szCs w:val="24"/>
              </w:rPr>
              <w:t>BAUDIN</w:t>
            </w:r>
            <w:r>
              <w:rPr>
                <w:rFonts w:eastAsia="Calibri" w:eastAsiaTheme="minorHAnsi"/>
                <w:sz w:val="24"/>
                <w:szCs w:val="24"/>
              </w:rPr>
              <w:t xml:space="preserve"> DEFENDANTS 735 ILCS 5/2-619.1 Motion in its entirety or </w:t>
            </w:r>
            <w:r>
              <w:rPr>
                <w:color w:val="000000"/>
                <w:sz w:val="24"/>
                <w:szCs w:val="24"/>
                <w:shd w:fill="FFFFFF" w:val="clear"/>
              </w:rPr>
              <w:t>either to permit or require pleading over or amending pursuant to 735 ILCS 5/2-615(d).</w:t>
            </w:r>
          </w:p>
          <w:p>
            <w:pPr>
              <w:pStyle w:val="Normal"/>
              <w:widowControl w:val="false"/>
              <w:rPr>
                <w:color w:val="000000"/>
                <w:sz w:val="24"/>
                <w:szCs w:val="24"/>
                <w:shd w:fill="FFFFFF" w:val="clear"/>
              </w:rPr>
            </w:pPr>
            <w:r>
              <w:rPr>
                <w:color w:val="000000"/>
                <w:sz w:val="24"/>
                <w:szCs w:val="24"/>
                <w:shd w:fill="FFFFFF" w:val="clear"/>
              </w:rPr>
            </w:r>
          </w:p>
          <w:p>
            <w:pPr>
              <w:pStyle w:val="Normal"/>
              <w:widowControl w:val="false"/>
              <w:rPr>
                <w:color w:val="000000"/>
                <w:sz w:val="24"/>
                <w:szCs w:val="24"/>
                <w:shd w:fill="FFFFFF" w:val="clear"/>
              </w:rPr>
            </w:pPr>
            <w:r>
              <w:rPr>
                <w:color w:val="000000"/>
                <w:sz w:val="24"/>
                <w:szCs w:val="24"/>
                <w:shd w:fill="FFFFFF" w:val="clear"/>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54"/>
              <w:gridCol w:w="4282"/>
            </w:tblGrid>
            <w:tr>
              <w:trPr/>
              <w:tc>
                <w:tcPr>
                  <w:tcW w:w="854" w:type="dxa"/>
                  <w:tcBorders/>
                </w:tcPr>
                <w:p>
                  <w:pPr>
                    <w:pStyle w:val="Paragraph"/>
                    <w:widowControl w:val="false"/>
                    <w:spacing w:before="120" w:after="0"/>
                    <w:rPr>
                      <w:w w:val="107"/>
                    </w:rPr>
                  </w:pPr>
                  <w:r>
                    <w:rPr/>
                    <w:t>Dated:</w:t>
                  </w:r>
                </w:p>
                <w:p>
                  <w:pPr>
                    <w:pStyle w:val="Paragraph"/>
                    <w:widowControl w:val="false"/>
                    <w:rPr>
                      <w:w w:val="107"/>
                    </w:rPr>
                  </w:pPr>
                  <w:r>
                    <w:rPr/>
                    <w:t>June 1, 203,</w:t>
                  </w:r>
                </w:p>
              </w:tc>
              <w:tc>
                <w:tcPr>
                  <w:tcW w:w="4282" w:type="dxa"/>
                  <w:tcBorders/>
                </w:tcPr>
                <w:p>
                  <w:pPr>
                    <w:pStyle w:val="Paragraph"/>
                    <w:widowControl w:val="false"/>
                    <w:spacing w:before="120" w:after="0"/>
                    <w:rPr>
                      <w:w w:val="107"/>
                    </w:rPr>
                  </w:pPr>
                  <w:r>
                    <w:rPr/>
                    <w:t>Respectfully submitted,</w:t>
                  </w:r>
                </w:p>
              </w:tc>
            </w:tr>
            <w:tr>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w w:val="107"/>
                    </w:rPr>
                  </w:pPr>
                  <w:r>
                    <w:rPr>
                      <w:w w:val="107"/>
                    </w:rPr>
                  </w:r>
                </w:p>
              </w:tc>
            </w:tr>
            <w:tr>
              <w:trPr/>
              <w:tc>
                <w:tcPr>
                  <w:tcW w:w="854" w:type="dxa"/>
                  <w:tcBorders/>
                </w:tcPr>
                <w:p>
                  <w:pPr>
                    <w:pStyle w:val="Paragraph"/>
                    <w:widowControl w:val="false"/>
                    <w:spacing w:before="120" w:after="0"/>
                    <w:rPr>
                      <w:w w:val="107"/>
                    </w:rPr>
                  </w:pPr>
                  <w:r>
                    <w:rPr/>
                    <w:t xml:space="preserve"> </w:t>
                  </w:r>
                  <w:r>
                    <w:rPr/>
                    <w:t>ILCS</w:t>
                  </w:r>
                </w:p>
              </w:tc>
              <w:tc>
                <w:tcPr>
                  <w:tcW w:w="4282" w:type="dxa"/>
                  <w:tcBorders/>
                </w:tcPr>
                <w:p>
                  <w:pPr>
                    <w:pStyle w:val="Paragraph"/>
                    <w:widowControl w:val="false"/>
                    <w:spacing w:before="120" w:after="0"/>
                    <w:rPr>
                      <w:w w:val="107"/>
                    </w:rPr>
                  </w:pPr>
                  <w:r>
                    <w:rPr>
                      <w:w w:val="107"/>
                    </w:rPr>
                  </w:r>
                </w:p>
              </w:tc>
            </w:tr>
            <w:tr>
              <w:trPr>
                <w:trHeight w:val="513" w:hRule="atLeast"/>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u w:val="single"/>
                    </w:rPr>
                  </w:pPr>
                  <w:r>
                    <w:rPr/>
                    <w:t xml:space="preserve">By: </w:t>
                  </w:r>
                  <w:r>
                    <w:rPr>
                      <w:u w:val="single"/>
                    </w:rPr>
                    <w:t>/s/ Alphonse A. Talarico</w:t>
                  </w:r>
                </w:p>
                <w:p>
                  <w:pPr>
                    <w:pStyle w:val="Paragraph"/>
                    <w:widowControl w:val="false"/>
                    <w:rPr>
                      <w:w w:val="107"/>
                    </w:rPr>
                  </w:pPr>
                  <w:r>
                    <w:rPr/>
                    <w:t>ARDC 6184530</w:t>
                  </w:r>
                </w:p>
                <w:p>
                  <w:pPr>
                    <w:pStyle w:val="Paragraph"/>
                    <w:widowControl w:val="false"/>
                    <w:rPr>
                      <w:w w:val="107"/>
                    </w:rPr>
                  </w:pPr>
                  <w:r>
                    <w:rPr/>
                    <w:t>CC 53293</w:t>
                  </w:r>
                </w:p>
              </w:tc>
            </w:tr>
            <w:tr>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w w:val="107"/>
                    </w:rPr>
                  </w:pPr>
                  <w:r>
                    <w:rPr/>
                    <w:t>707 Skokie Boulevard suite 600</w:t>
                  </w:r>
                </w:p>
                <w:p>
                  <w:pPr>
                    <w:pStyle w:val="Paragraph"/>
                    <w:widowControl w:val="false"/>
                    <w:rPr>
                      <w:w w:val="107"/>
                    </w:rPr>
                  </w:pPr>
                  <w:r>
                    <w:rPr/>
                    <w:t>Northbrook, Illinois 60062</w:t>
                  </w:r>
                </w:p>
                <w:p>
                  <w:pPr>
                    <w:pStyle w:val="Paragraph"/>
                    <w:widowControl w:val="false"/>
                    <w:rPr>
                      <w:w w:val="107"/>
                    </w:rPr>
                  </w:pPr>
                  <w:r>
                    <w:rPr/>
                    <w:t>(312) 808-1410</w:t>
                  </w:r>
                </w:p>
                <w:p>
                  <w:pPr>
                    <w:pStyle w:val="Paragraph"/>
                    <w:widowControl w:val="false"/>
                    <w:rPr>
                      <w:w w:val="107"/>
                    </w:rPr>
                  </w:pPr>
                  <w:hyperlink r:id="rId3">
                    <w:r>
                      <w:rPr>
                        <w:rStyle w:val="InternetLink"/>
                      </w:rPr>
                      <w:t>contact@lawofficeofalphonsetalarico.com</w:t>
                    </w:r>
                  </w:hyperlink>
                </w:p>
                <w:p>
                  <w:pPr>
                    <w:pStyle w:val="Paragraph"/>
                    <w:widowControl w:val="false"/>
                    <w:rPr>
                      <w:w w:val="107"/>
                    </w:rPr>
                  </w:pPr>
                  <w:r>
                    <w:rPr>
                      <w:w w:val="107"/>
                    </w:rPr>
                  </w:r>
                </w:p>
              </w:tc>
            </w:tr>
            <w:tr>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w w:val="107"/>
                    </w:rPr>
                  </w:pPr>
                  <w:r>
                    <w:rPr>
                      <w:w w:val="107"/>
                    </w:rPr>
                  </w:r>
                </w:p>
              </w:tc>
            </w:tr>
            <w:tr>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w w:val="107"/>
                    </w:rPr>
                  </w:pPr>
                  <w:r>
                    <w:rPr>
                      <w:w w:val="107"/>
                    </w:rPr>
                  </w:r>
                </w:p>
              </w:tc>
            </w:tr>
            <w:tr>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w w:val="107"/>
                    </w:rPr>
                  </w:pPr>
                  <w:r>
                    <w:rPr>
                      <w:w w:val="107"/>
                    </w:rPr>
                  </w:r>
                </w:p>
              </w:tc>
            </w:tr>
            <w:tr>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w w:val="107"/>
                    </w:rPr>
                  </w:pPr>
                  <w:r>
                    <w:rPr>
                      <w:w w:val="107"/>
                    </w:rPr>
                  </w:r>
                </w:p>
              </w:tc>
            </w:tr>
            <w:tr>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w w:val="107"/>
                    </w:rPr>
                  </w:pPr>
                  <w:r>
                    <w:rPr>
                      <w:w w:val="107"/>
                    </w:rPr>
                  </w:r>
                </w:p>
              </w:tc>
            </w:tr>
            <w:tr>
              <w:trPr>
                <w:trHeight w:val="495" w:hRule="atLeast"/>
              </w:trPr>
              <w:tc>
                <w:tcPr>
                  <w:tcW w:w="854" w:type="dxa"/>
                  <w:tcBorders/>
                </w:tcPr>
                <w:p>
                  <w:pPr>
                    <w:pStyle w:val="Paragraph"/>
                    <w:widowControl w:val="false"/>
                    <w:spacing w:before="120" w:after="0"/>
                    <w:rPr>
                      <w:w w:val="107"/>
                    </w:rPr>
                  </w:pPr>
                  <w:r>
                    <w:rPr>
                      <w:w w:val="107"/>
                    </w:rPr>
                  </w:r>
                </w:p>
              </w:tc>
              <w:tc>
                <w:tcPr>
                  <w:tcW w:w="4282" w:type="dxa"/>
                  <w:tcBorders/>
                </w:tcPr>
                <w:p>
                  <w:pPr>
                    <w:pStyle w:val="Paragraph"/>
                    <w:widowControl w:val="false"/>
                    <w:spacing w:before="120" w:after="0"/>
                    <w:rPr>
                      <w:w w:val="107"/>
                    </w:rPr>
                  </w:pPr>
                  <w:r>
                    <w:rPr/>
                    <w:t>Attorney for Plaintiffs: Plaintiffs PAUL R. DULBERG, INDIVIDUALLY AND THE PAUL R. DULBERG  REVOCABLE TRUST</w:t>
                  </w:r>
                </w:p>
              </w:tc>
            </w:tr>
          </w:tbl>
          <w:p>
            <w:pPr>
              <w:pStyle w:val="Normal"/>
              <w:widowControl w:val="false"/>
              <w:rPr>
                <w:rFonts w:eastAsia="Calibri" w:eastAsiaTheme="minorHAnsi"/>
                <w:sz w:val="24"/>
                <w:szCs w:val="24"/>
              </w:rPr>
            </w:pPr>
            <w:r>
              <w:rPr>
                <w:rFonts w:eastAsia="Calibri" w:eastAsiaTheme="minorHAnsi"/>
                <w:sz w:val="24"/>
                <w:szCs w:val="24"/>
              </w:rPr>
            </w:r>
          </w:p>
          <w:p>
            <w:pPr>
              <w:pStyle w:val="Normal"/>
              <w:widowControl w:val="false"/>
              <w:rPr>
                <w:rFonts w:ascii="TimesNewRomanPSMT" w:hAnsi="TimesNewRomanPSMT" w:eastAsia="Calibri" w:cs="TimesNewRomanPSMT" w:eastAsiaTheme="minorHAnsi"/>
                <w:sz w:val="24"/>
                <w:szCs w:val="24"/>
              </w:rPr>
            </w:pPr>
            <w:r>
              <w:rPr>
                <w:rFonts w:eastAsia="Calibri" w:cs="TimesNewRomanPSMT" w:eastAsiaTheme="minorHAnsi" w:ascii="TimesNewRomanPSMT" w:hAnsi="TimesNewRomanPSMT"/>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b/>
                <w:b/>
                <w:bCs/>
                <w:sz w:val="24"/>
                <w:szCs w:val="24"/>
                <w:u w:val="single"/>
              </w:rPr>
            </w:pPr>
            <w:r>
              <w:rPr>
                <w:rFonts w:eastAsia="Calibri" w:eastAsiaTheme="minorHAnsi"/>
                <w:b/>
                <w:bCs/>
                <w:sz w:val="24"/>
                <w:szCs w:val="24"/>
                <w:u w:val="single"/>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rFonts w:eastAsia="Calibri" w:eastAsiaTheme="minorHAnsi"/>
                <w:sz w:val="24"/>
                <w:szCs w:val="24"/>
              </w:rPr>
            </w:pPr>
            <w:r>
              <w:rPr>
                <w:rFonts w:eastAsia="Calibri" w:eastAsiaTheme="minorHAnsi"/>
                <w:sz w:val="24"/>
                <w:szCs w:val="24"/>
              </w:rPr>
            </w:r>
          </w:p>
          <w:p>
            <w:pPr>
              <w:pStyle w:val="Normal"/>
              <w:widowControl w:val="false"/>
              <w:spacing w:before="12" w:after="0"/>
              <w:rPr>
                <w:spacing w:val="-4"/>
                <w:w w:val="105"/>
                <w:sz w:val="24"/>
                <w:szCs w:val="24"/>
              </w:rPr>
            </w:pPr>
            <w:r>
              <w:rPr>
                <w:rFonts w:eastAsia="Calibri" w:eastAsiaTheme="minorHAnsi"/>
                <w:sz w:val="24"/>
                <w:szCs w:val="24"/>
              </w:rPr>
              <w:t xml:space="preserve">                                               </w:t>
            </w:r>
            <w:r>
              <w:rPr>
                <w:rFonts w:eastAsia="Calibri" w:eastAsiaTheme="minorHAnsi"/>
                <w:sz w:val="24"/>
                <w:szCs w:val="24"/>
              </w:rPr>
              <w:t>`</w:t>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t>.</w:t>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lineRule="auto" w:line="480" w:before="61" w:after="0"/>
              <w:ind w:left="120" w:right="111" w:firstLine="720"/>
              <w:rPr>
                <w:sz w:val="24"/>
                <w:szCs w:val="24"/>
              </w:rPr>
            </w:pPr>
            <w:r>
              <w:rPr>
                <w:sz w:val="24"/>
                <w:szCs w:val="24"/>
              </w:rPr>
            </w:r>
          </w:p>
          <w:p>
            <w:pPr>
              <w:pStyle w:val="Normal"/>
              <w:widowControl w:val="false"/>
              <w:spacing w:before="12" w:after="0"/>
              <w:rPr>
                <w:spacing w:val="-4"/>
                <w:w w:val="105"/>
                <w:sz w:val="24"/>
                <w:szCs w:val="24"/>
              </w:rPr>
            </w:pPr>
            <w:r>
              <w:rPr>
                <w:spacing w:val="-4"/>
                <w:w w:val="105"/>
                <w:sz w:val="24"/>
                <w:szCs w:val="24"/>
              </w:rPr>
            </w:r>
          </w:p>
          <w:p>
            <w:pPr>
              <w:pStyle w:val="Normal"/>
              <w:widowControl w:val="false"/>
              <w:spacing w:before="12" w:after="0"/>
              <w:ind w:left="119" w:hanging="0"/>
              <w:rPr>
                <w:spacing w:val="-4"/>
                <w:w w:val="105"/>
                <w:sz w:val="24"/>
                <w:szCs w:val="24"/>
              </w:rPr>
            </w:pPr>
            <w:r>
              <w:rPr>
                <w:spacing w:val="-4"/>
                <w:w w:val="105"/>
                <w:sz w:val="24"/>
                <w:szCs w:val="24"/>
              </w:rPr>
            </w:r>
          </w:p>
          <w:p>
            <w:pPr>
              <w:pStyle w:val="Normal"/>
              <w:widowControl w:val="false"/>
              <w:spacing w:before="12" w:after="0"/>
              <w:ind w:left="119" w:hanging="0"/>
              <w:rPr>
                <w:sz w:val="24"/>
                <w:szCs w:val="24"/>
              </w:rPr>
            </w:pPr>
            <w:r>
              <w:rPr>
                <w:sz w:val="24"/>
                <w:szCs w:val="24"/>
              </w:rPr>
            </w:r>
          </w:p>
          <w:p>
            <w:pPr>
              <w:pStyle w:val="Normal"/>
              <w:widowControl w:val="false"/>
              <w:tabs>
                <w:tab w:val="clear" w:pos="720"/>
                <w:tab w:val="left" w:pos="375" w:leader="none"/>
              </w:tabs>
              <w:rPr>
                <w:sz w:val="24"/>
                <w:szCs w:val="24"/>
              </w:rPr>
            </w:pPr>
            <w:r>
              <w:rPr>
                <w:sz w:val="24"/>
                <w:szCs w:val="24"/>
              </w:rPr>
            </w:r>
          </w:p>
          <w:p>
            <w:pPr>
              <w:pStyle w:val="Normal"/>
              <w:widowControl w:val="false"/>
              <w:tabs>
                <w:tab w:val="clear" w:pos="720"/>
                <w:tab w:val="left" w:pos="375" w:leader="none"/>
              </w:tabs>
              <w:rPr>
                <w:sz w:val="24"/>
                <w:szCs w:val="24"/>
              </w:rPr>
            </w:pPr>
            <w:r>
              <w:rPr>
                <w:sz w:val="24"/>
                <w:szCs w:val="24"/>
              </w:rPr>
            </w:r>
          </w:p>
          <w:p>
            <w:pPr>
              <w:pStyle w:val="Normal"/>
              <w:widowControl w:val="false"/>
              <w:tabs>
                <w:tab w:val="clear" w:pos="720"/>
                <w:tab w:val="left" w:pos="375" w:leader="none"/>
              </w:tabs>
              <w:rPr>
                <w:sz w:val="24"/>
                <w:szCs w:val="24"/>
              </w:rPr>
            </w:pPr>
            <w:r>
              <w:rPr>
                <w:sz w:val="24"/>
                <w:szCs w:val="24"/>
              </w:rPr>
            </w:r>
          </w:p>
          <w:p>
            <w:pPr>
              <w:pStyle w:val="Normal"/>
              <w:widowControl w:val="false"/>
              <w:tabs>
                <w:tab w:val="clear" w:pos="720"/>
                <w:tab w:val="left" w:pos="375" w:leader="none"/>
              </w:tabs>
              <w:rPr>
                <w:sz w:val="24"/>
                <w:szCs w:val="24"/>
              </w:rPr>
            </w:pPr>
            <w:r>
              <w:rPr>
                <w:sz w:val="24"/>
                <w:szCs w:val="24"/>
              </w:rPr>
            </w:r>
          </w:p>
          <w:p>
            <w:pPr>
              <w:pStyle w:val="Normal"/>
              <w:widowControl w:val="false"/>
              <w:tabs>
                <w:tab w:val="clear" w:pos="720"/>
                <w:tab w:val="left" w:pos="375" w:leader="none"/>
              </w:tabs>
              <w:rPr>
                <w:sz w:val="24"/>
                <w:szCs w:val="24"/>
              </w:rPr>
            </w:pPr>
            <w:r>
              <w:rPr>
                <w:sz w:val="24"/>
                <w:szCs w:val="24"/>
              </w:rPr>
              <mc:AlternateContent>
                <mc:Choice Requires="wps">
                  <w:drawing>
                    <wp:anchor behindDoc="1" distT="19050" distB="19050" distL="19050" distR="19050" simplePos="0" locked="0" layoutInCell="1" allowOverlap="1" relativeHeight="4" wp14:anchorId="7198BDD3">
                      <wp:simplePos x="0" y="0"/>
                      <wp:positionH relativeFrom="page">
                        <wp:posOffset>9629140</wp:posOffset>
                      </wp:positionH>
                      <wp:positionV relativeFrom="paragraph">
                        <wp:posOffset>93345</wp:posOffset>
                      </wp:positionV>
                      <wp:extent cx="1862455" cy="3175"/>
                      <wp:effectExtent l="0" t="0" r="0" b="0"/>
                      <wp:wrapTopAndBottom/>
                      <wp:docPr id="3" name="Freeform: Shape 2"/>
                      <a:graphic xmlns:a="http://schemas.openxmlformats.org/drawingml/2006/main">
                        <a:graphicData uri="http://schemas.microsoft.com/office/word/2010/wordprocessingShape">
                          <wps:wsp>
                            <wps:cNvSpPr/>
                            <wps:spPr>
                              <a:xfrm>
                                <a:off x="0" y="0"/>
                                <a:ext cx="1861920" cy="2520"/>
                              </a:xfrm>
                              <a:custGeom>
                                <a:avLst/>
                                <a:gdLst/>
                                <a:ahLst/>
                                <a:rect l="l" t="t" r="r" b="b"/>
                                <a:pathLst>
                                  <a:path w="2930" h="0">
                                    <a:moveTo>
                                      <a:pt x="0" y="0"/>
                                    </a:moveTo>
                                    <a:lnTo>
                                      <a:pt x="2929" y="0"/>
                                    </a:lnTo>
                                  </a:path>
                                </a:pathLst>
                              </a:custGeom>
                              <a:noFill/>
                              <a:ln w="12732">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val="false"/>
              <w:tabs>
                <w:tab w:val="clear" w:pos="720"/>
                <w:tab w:val="left" w:pos="375" w:leader="none"/>
              </w:tabs>
              <w:rPr>
                <w:sz w:val="24"/>
                <w:szCs w:val="24"/>
              </w:rPr>
            </w:pPr>
            <w:r>
              <w:rPr>
                <w:sz w:val="24"/>
                <w:szCs w:val="24"/>
              </w:rPr>
            </w:r>
          </w:p>
          <w:p>
            <w:pPr>
              <w:pStyle w:val="Normal"/>
              <w:widowControl w:val="false"/>
              <w:tabs>
                <w:tab w:val="clear" w:pos="720"/>
                <w:tab w:val="left" w:pos="375" w:leader="none"/>
              </w:tabs>
              <w:rPr>
                <w:sz w:val="24"/>
                <w:szCs w:val="24"/>
              </w:rPr>
            </w:pPr>
            <w:r>
              <w:rPr>
                <w:sz w:val="24"/>
                <w:szCs w:val="24"/>
              </w:rPr>
            </w:r>
          </w:p>
          <w:p>
            <w:pPr>
              <w:pStyle w:val="Normal"/>
              <w:widowControl w:val="false"/>
              <w:tabs>
                <w:tab w:val="clear" w:pos="720"/>
                <w:tab w:val="left" w:pos="375" w:leader="none"/>
              </w:tabs>
              <w:rPr>
                <w:sz w:val="24"/>
                <w:szCs w:val="24"/>
              </w:rPr>
            </w:pPr>
            <w:r>
              <w:rPr>
                <w:sz w:val="24"/>
                <w:szCs w:val="24"/>
              </w:rPr>
            </w:r>
          </w:p>
          <w:p>
            <w:pPr>
              <w:pStyle w:val="Normal"/>
              <w:widowControl w:val="false"/>
              <w:tabs>
                <w:tab w:val="clear" w:pos="720"/>
                <w:tab w:val="left" w:pos="375" w:leader="none"/>
              </w:tabs>
              <w:ind w:left="105" w:hanging="105"/>
              <w:rPr>
                <w:sz w:val="24"/>
                <w:szCs w:val="24"/>
              </w:rPr>
            </w:pPr>
            <w:r>
              <w:rPr>
                <w:sz w:val="24"/>
                <w:szCs w:val="24"/>
              </w:rPr>
            </w:r>
          </w:p>
          <w:p>
            <w:pPr>
              <w:pStyle w:val="Normal"/>
              <w:widowControl w:val="false"/>
              <w:tabs>
                <w:tab w:val="clear" w:pos="720"/>
                <w:tab w:val="left" w:pos="375" w:leader="none"/>
              </w:tabs>
              <w:rPr>
                <w:sz w:val="24"/>
                <w:szCs w:val="24"/>
              </w:rPr>
            </w:pPr>
            <w:r>
              <w:rPr>
                <w:sz w:val="24"/>
                <w:szCs w:val="24"/>
              </w:rPr>
            </w:r>
          </w:p>
          <w:p>
            <w:pPr>
              <w:pStyle w:val="Normal"/>
              <w:widowControl w:val="false"/>
              <w:tabs>
                <w:tab w:val="clear" w:pos="720"/>
                <w:tab w:val="left" w:pos="375" w:leader="none"/>
              </w:tabs>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1838" w:type="dxa"/>
            <w:tcBorders/>
          </w:tcPr>
          <w:p>
            <w:pPr>
              <w:pStyle w:val="Normal"/>
              <w:widowControl w:val="false"/>
              <w:rPr>
                <w:w w:val="107"/>
                <w:sz w:val="24"/>
                <w:szCs w:val="24"/>
              </w:rPr>
            </w:pPr>
            <w:r>
              <w:rPr>
                <w:w w:val="107"/>
                <w:sz w:val="24"/>
                <w:szCs w:val="24"/>
              </w:rPr>
            </w:r>
          </w:p>
        </w:tc>
      </w:tr>
      <w:tr>
        <w:trPr/>
        <w:tc>
          <w:tcPr>
            <w:tcW w:w="973" w:type="dxa"/>
            <w:tcBorders/>
          </w:tcPr>
          <w:p>
            <w:pPr>
              <w:pStyle w:val="ListParagraph"/>
              <w:widowControl w:val="false"/>
              <w:numPr>
                <w:ilvl w:val="0"/>
                <w:numId w:val="3"/>
              </w:numPr>
              <w:rPr>
                <w:sz w:val="24"/>
                <w:szCs w:val="24"/>
              </w:rPr>
            </w:pPr>
            <w:r>
              <w:rPr>
                <w:sz w:val="24"/>
                <w:szCs w:val="24"/>
              </w:rPr>
            </w:r>
          </w:p>
        </w:tc>
        <w:tc>
          <w:tcPr>
            <w:tcW w:w="6002" w:type="dxa"/>
            <w:gridSpan w:val="2"/>
            <w:tcBorders/>
            <w:shd w:color="auto" w:fill="FFFFFF" w:val="clear"/>
            <w:vAlign w:val="center"/>
          </w:tcPr>
          <w:p>
            <w:pPr>
              <w:pStyle w:val="ListParagraph"/>
              <w:widowControl w:val="false"/>
              <w:numPr>
                <w:ilvl w:val="0"/>
                <w:numId w:val="3"/>
              </w:numPr>
              <w:rPr>
                <w:sz w:val="24"/>
                <w:szCs w:val="24"/>
              </w:rPr>
            </w:pPr>
            <w:r>
              <w:rPr>
                <w:sz w:val="24"/>
                <w:szCs w:val="24"/>
              </w:rPr>
            </w:r>
          </w:p>
        </w:tc>
      </w:tr>
    </w:tbl>
    <w:p>
      <w:pPr>
        <w:pStyle w:val="TextBody"/>
        <w:spacing w:before="91" w:after="0"/>
        <w:rPr>
          <w:b/>
          <w:b/>
          <w:bCs/>
          <w:spacing w:val="-2"/>
          <w:w w:val="110"/>
          <w:sz w:val="24"/>
          <w:szCs w:val="24"/>
        </w:rPr>
      </w:pPr>
      <w:r>
        <w:rPr>
          <w:b/>
          <w:bCs/>
          <w:spacing w:val="-2"/>
          <w:w w:val="110"/>
          <w:sz w:val="24"/>
          <w:szCs w:val="24"/>
        </w:rPr>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r>
    </w:p>
    <w:p>
      <w:pPr>
        <w:pStyle w:val="TextBody"/>
        <w:spacing w:before="91" w:after="0"/>
        <w:rPr>
          <w:b/>
          <w:b/>
          <w:bCs/>
          <w:spacing w:val="-2"/>
          <w:w w:val="110"/>
          <w:sz w:val="24"/>
          <w:szCs w:val="24"/>
        </w:rPr>
      </w:pPr>
      <w:r>
        <w:rPr>
          <w:b/>
          <w:bCs/>
          <w:spacing w:val="-2"/>
          <w:w w:val="110"/>
          <w:sz w:val="24"/>
          <w:szCs w:val="24"/>
        </w:rPr>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r>
    </w:p>
    <w:p>
      <w:pPr>
        <w:pStyle w:val="TextBody"/>
        <w:spacing w:before="91" w:after="0"/>
        <w:rPr>
          <w:spacing w:val="-2"/>
          <w:w w:val="110"/>
          <w:sz w:val="24"/>
          <w:szCs w:val="24"/>
        </w:rPr>
      </w:pPr>
      <w:r>
        <w:rPr>
          <w:spacing w:val="-2"/>
          <w:w w:val="110"/>
          <w:sz w:val="24"/>
          <w:szCs w:val="24"/>
        </w:rPr>
      </w:r>
      <w:bookmarkStart w:id="4" w:name="_Hlk133321255"/>
      <w:bookmarkStart w:id="5" w:name="_Hlk133321255"/>
      <w:bookmarkEnd w:id="5"/>
    </w:p>
    <w:p>
      <w:pPr>
        <w:pStyle w:val="TextBody"/>
        <w:spacing w:before="91" w:after="0"/>
        <w:rPr>
          <w:spacing w:val="-2"/>
          <w:w w:val="110"/>
          <w:sz w:val="24"/>
          <w:szCs w:val="24"/>
        </w:rPr>
      </w:pPr>
      <w:r>
        <w:rPr>
          <w:spacing w:val="-2"/>
          <w:w w:val="110"/>
          <w:sz w:val="24"/>
          <w:szCs w:val="24"/>
        </w:rPr>
      </w:r>
    </w:p>
    <w:p>
      <w:pPr>
        <w:pStyle w:val="Normal"/>
        <w:rPr>
          <w:sz w:val="24"/>
          <w:szCs w:val="24"/>
        </w:rPr>
      </w:pPr>
      <w:r>
        <w:rPr>
          <w:sz w:val="24"/>
          <w:szCs w:val="24"/>
        </w:rPr>
        <w:t xml:space="preserve">  </w:t>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 w:name="TimesNewRomanPS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7011648"/>
    </w:sdtPr>
    <w:sdtContent>
      <w:p>
        <w:pPr>
          <w:pStyle w:val="Footer"/>
          <w:jc w:val="center"/>
          <w:rPr/>
        </w:pPr>
        <w:r>
          <w:rPr/>
          <w:fldChar w:fldCharType="begin"/>
        </w:r>
        <w:r>
          <w:rPr/>
          <w:instrText> PAGE </w:instrText>
        </w:r>
        <w:r>
          <w:rPr/>
          <w:fldChar w:fldCharType="separate"/>
        </w:r>
        <w:r>
          <w:rPr/>
          <w:t>1</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78261045"/>
    </w:sdtPr>
    <w:sdtContent>
      <w:p>
        <w:pPr>
          <w:pStyle w:val="Footer"/>
          <w:jc w:val="center"/>
          <w:rPr/>
        </w:pPr>
        <w:r>
          <w:rPr/>
          <w:fldChar w:fldCharType="begin"/>
        </w:r>
        <w:r>
          <w:rPr/>
          <w:instrText> PAGE </w:instrText>
        </w:r>
        <w:r>
          <w:rPr/>
          <w:fldChar w:fldCharType="separate"/>
        </w:r>
        <w:r>
          <w:rPr/>
          <w:t>15</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left"/>
      <w:pPr>
        <w:tabs>
          <w:tab w:val="num" w:pos="0"/>
        </w:tabs>
        <w:ind w:left="2078" w:hanging="548"/>
      </w:pPr>
      <w:rPr>
        <w:sz w:val="24"/>
        <w:i w:val="false"/>
        <w:b/>
        <w:szCs w:val="24"/>
        <w:iCs w:val="false"/>
        <w:bCs/>
        <w:w w:val="100"/>
        <w:rFonts w:ascii="Times New Roman" w:hAnsi="Times New Roman" w:eastAsia="Times New Roman" w:cs="Times New Roman"/>
        <w:lang w:val="en-US" w:eastAsia="en-US" w:bidi="ar-SA"/>
      </w:rPr>
    </w:lvl>
    <w:lvl w:ilvl="1">
      <w:start w:val="0"/>
      <w:numFmt w:val="bullet"/>
      <w:lvlText w:val=""/>
      <w:lvlJc w:val="left"/>
      <w:pPr>
        <w:tabs>
          <w:tab w:val="num" w:pos="0"/>
        </w:tabs>
        <w:ind w:left="3002" w:hanging="548"/>
      </w:pPr>
      <w:rPr>
        <w:rFonts w:ascii="Symbol" w:hAnsi="Symbol" w:cs="Symbol" w:hint="default"/>
        <w:lang w:val="en-US" w:eastAsia="en-US" w:bidi="ar-SA"/>
      </w:rPr>
    </w:lvl>
    <w:lvl w:ilvl="2">
      <w:start w:val="0"/>
      <w:numFmt w:val="bullet"/>
      <w:lvlText w:val=""/>
      <w:lvlJc w:val="left"/>
      <w:pPr>
        <w:tabs>
          <w:tab w:val="num" w:pos="0"/>
        </w:tabs>
        <w:ind w:left="3920" w:hanging="548"/>
      </w:pPr>
      <w:rPr>
        <w:rFonts w:ascii="Symbol" w:hAnsi="Symbol" w:cs="Symbol" w:hint="default"/>
        <w:lang w:val="en-US" w:eastAsia="en-US" w:bidi="ar-SA"/>
      </w:rPr>
    </w:lvl>
    <w:lvl w:ilvl="3">
      <w:start w:val="0"/>
      <w:numFmt w:val="bullet"/>
      <w:lvlText w:val=""/>
      <w:lvlJc w:val="left"/>
      <w:pPr>
        <w:tabs>
          <w:tab w:val="num" w:pos="0"/>
        </w:tabs>
        <w:ind w:left="4838" w:hanging="548"/>
      </w:pPr>
      <w:rPr>
        <w:rFonts w:ascii="Symbol" w:hAnsi="Symbol" w:cs="Symbol" w:hint="default"/>
        <w:lang w:val="en-US" w:eastAsia="en-US" w:bidi="ar-SA"/>
      </w:rPr>
    </w:lvl>
    <w:lvl w:ilvl="4">
      <w:start w:val="0"/>
      <w:numFmt w:val="bullet"/>
      <w:lvlText w:val=""/>
      <w:lvlJc w:val="left"/>
      <w:pPr>
        <w:tabs>
          <w:tab w:val="num" w:pos="0"/>
        </w:tabs>
        <w:ind w:left="5756" w:hanging="548"/>
      </w:pPr>
      <w:rPr>
        <w:rFonts w:ascii="Symbol" w:hAnsi="Symbol" w:cs="Symbol" w:hint="default"/>
        <w:lang w:val="en-US" w:eastAsia="en-US" w:bidi="ar-SA"/>
      </w:rPr>
    </w:lvl>
    <w:lvl w:ilvl="5">
      <w:start w:val="0"/>
      <w:numFmt w:val="bullet"/>
      <w:lvlText w:val=""/>
      <w:lvlJc w:val="left"/>
      <w:pPr>
        <w:tabs>
          <w:tab w:val="num" w:pos="0"/>
        </w:tabs>
        <w:ind w:left="6674" w:hanging="548"/>
      </w:pPr>
      <w:rPr>
        <w:rFonts w:ascii="Symbol" w:hAnsi="Symbol" w:cs="Symbol" w:hint="default"/>
        <w:lang w:val="en-US" w:eastAsia="en-US" w:bidi="ar-SA"/>
      </w:rPr>
    </w:lvl>
    <w:lvl w:ilvl="6">
      <w:start w:val="0"/>
      <w:numFmt w:val="bullet"/>
      <w:lvlText w:val=""/>
      <w:lvlJc w:val="left"/>
      <w:pPr>
        <w:tabs>
          <w:tab w:val="num" w:pos="0"/>
        </w:tabs>
        <w:ind w:left="7592" w:hanging="548"/>
      </w:pPr>
      <w:rPr>
        <w:rFonts w:ascii="Symbol" w:hAnsi="Symbol" w:cs="Symbol" w:hint="default"/>
        <w:lang w:val="en-US" w:eastAsia="en-US" w:bidi="ar-SA"/>
      </w:rPr>
    </w:lvl>
    <w:lvl w:ilvl="7">
      <w:start w:val="0"/>
      <w:numFmt w:val="bullet"/>
      <w:lvlText w:val=""/>
      <w:lvlJc w:val="left"/>
      <w:pPr>
        <w:tabs>
          <w:tab w:val="num" w:pos="0"/>
        </w:tabs>
        <w:ind w:left="8510" w:hanging="548"/>
      </w:pPr>
      <w:rPr>
        <w:rFonts w:ascii="Symbol" w:hAnsi="Symbol" w:cs="Symbol" w:hint="default"/>
        <w:lang w:val="en-US" w:eastAsia="en-US" w:bidi="ar-SA"/>
      </w:rPr>
    </w:lvl>
    <w:lvl w:ilvl="8">
      <w:start w:val="0"/>
      <w:numFmt w:val="bullet"/>
      <w:lvlText w:val=""/>
      <w:lvlJc w:val="left"/>
      <w:pPr>
        <w:tabs>
          <w:tab w:val="num" w:pos="0"/>
        </w:tabs>
        <w:ind w:left="9428" w:hanging="548"/>
      </w:pPr>
      <w:rPr>
        <w:rFonts w:ascii="Symbol" w:hAnsi="Symbol" w:cs="Symbol" w:hint="default"/>
        <w:lang w:val="en-US" w:eastAsia="en-US" w:bidi="ar-SA"/>
      </w:rPr>
    </w:lvl>
  </w:abstractNum>
  <w:abstractNum w:abstractNumId="3">
    <w:lvl w:ilvl="0">
      <w:start w:val="735"/>
      <w:numFmt w:val="decimal"/>
      <w:lvlText w:val="(%1"/>
      <w:lvlJc w:val="left"/>
      <w:pPr>
        <w:tabs>
          <w:tab w:val="num" w:pos="0"/>
        </w:tabs>
        <w:ind w:left="675" w:hanging="435"/>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7ffe"/>
    <w:pPr>
      <w:widowControl w:val="false"/>
      <w:suppressAutoHyphens w:val="tru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Heading5">
    <w:name w:val="Heading 5"/>
    <w:basedOn w:val="Normal"/>
    <w:next w:val="Normal"/>
    <w:link w:val="Heading5Char"/>
    <w:uiPriority w:val="9"/>
    <w:semiHidden/>
    <w:unhideWhenUsed/>
    <w:qFormat/>
    <w:rsid w:val="00c476e6"/>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uiPriority w:val="1"/>
    <w:qFormat/>
    <w:rsid w:val="00217ffe"/>
    <w:rPr>
      <w:rFonts w:ascii="Times New Roman" w:hAnsi="Times New Roman" w:eastAsia="Times New Roman" w:cs="Times New Roman"/>
    </w:rPr>
  </w:style>
  <w:style w:type="character" w:styleId="TitleChar" w:customStyle="1">
    <w:name w:val="Title Char"/>
    <w:basedOn w:val="DefaultParagraphFont"/>
    <w:link w:val="Title"/>
    <w:uiPriority w:val="10"/>
    <w:qFormat/>
    <w:rsid w:val="00217ffe"/>
    <w:rPr>
      <w:rFonts w:ascii="Times New Roman" w:hAnsi="Times New Roman" w:eastAsia="Times New Roman" w:cs="Times New Roman"/>
      <w:b/>
      <w:bCs/>
      <w:sz w:val="23"/>
      <w:szCs w:val="23"/>
    </w:rPr>
  </w:style>
  <w:style w:type="character" w:styleId="FooterChar" w:customStyle="1">
    <w:name w:val="Footer Char"/>
    <w:basedOn w:val="DefaultParagraphFont"/>
    <w:link w:val="Footer"/>
    <w:uiPriority w:val="99"/>
    <w:qFormat/>
    <w:rsid w:val="00217ffe"/>
    <w:rPr>
      <w:rFonts w:ascii="Times New Roman" w:hAnsi="Times New Roman" w:eastAsia="Times New Roman" w:cs="Times New Roman"/>
    </w:rPr>
  </w:style>
  <w:style w:type="character" w:styleId="HeaderChar" w:customStyle="1">
    <w:name w:val="Header Char"/>
    <w:basedOn w:val="DefaultParagraphFont"/>
    <w:link w:val="Header"/>
    <w:uiPriority w:val="99"/>
    <w:qFormat/>
    <w:rsid w:val="00556ff0"/>
    <w:rPr>
      <w:rFonts w:ascii="Times New Roman" w:hAnsi="Times New Roman" w:eastAsia="Times New Roman" w:cs="Times New Roman"/>
    </w:rPr>
  </w:style>
  <w:style w:type="character" w:styleId="Heading5Char" w:customStyle="1">
    <w:name w:val="Heading 5 Char"/>
    <w:basedOn w:val="DefaultParagraphFont"/>
    <w:link w:val="Heading5"/>
    <w:uiPriority w:val="9"/>
    <w:semiHidden/>
    <w:qFormat/>
    <w:rsid w:val="00c476e6"/>
    <w:rPr>
      <w:rFonts w:ascii="Cambria" w:hAnsi="Cambria" w:eastAsia="" w:cs="" w:asciiTheme="majorHAnsi" w:cstheme="majorBidi" w:eastAsiaTheme="majorEastAsia" w:hAnsiTheme="majorHAnsi"/>
      <w:color w:val="365F91" w:themeColor="accent1" w:themeShade="bf"/>
    </w:rPr>
  </w:style>
  <w:style w:type="character" w:styleId="HTMLCode">
    <w:name w:val="HTML Code"/>
    <w:basedOn w:val="DefaultParagraphFont"/>
    <w:uiPriority w:val="99"/>
    <w:semiHidden/>
    <w:unhideWhenUsed/>
    <w:qFormat/>
    <w:rsid w:val="00db5069"/>
    <w:rPr>
      <w:rFonts w:ascii="Courier New" w:hAnsi="Courier New" w:eastAsia="Times New Roman" w:cs="Courier New"/>
      <w:sz w:val="20"/>
      <w:szCs w:val="20"/>
    </w:rPr>
  </w:style>
  <w:style w:type="character" w:styleId="InternetLink">
    <w:name w:val="Hyperlink"/>
    <w:basedOn w:val="DefaultParagraphFont"/>
    <w:uiPriority w:val="99"/>
    <w:unhideWhenUsed/>
    <w:rsid w:val="00db5069"/>
    <w:rPr>
      <w:color w:val="0000FF" w:themeColor="hyperlink"/>
      <w:u w:val="single"/>
    </w:rPr>
  </w:style>
  <w:style w:type="character" w:styleId="ParagraphChar1" w:customStyle="1">
    <w:name w:val="Paragraph Char1"/>
    <w:link w:val="Paragraph"/>
    <w:qFormat/>
    <w:rsid w:val="00db5069"/>
    <w:rPr>
      <w:rFonts w:ascii="Times New Roman" w:hAnsi="Times New Roman" w:eastAsia="Times New Roman" w:cs="Times New Roman"/>
      <w:color w:val="000000"/>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217ffe"/>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Envelopeaddress">
    <w:name w:val="envelope address"/>
    <w:basedOn w:val="Normal"/>
    <w:uiPriority w:val="99"/>
    <w:semiHidden/>
    <w:unhideWhenUsed/>
    <w:qFormat/>
    <w:rsid w:val="00ae7444"/>
    <w:pPr>
      <w:ind w:left="2880" w:hanging="0"/>
    </w:pPr>
    <w:rPr>
      <w:rFonts w:ascii="Cambria" w:hAnsi="Cambria" w:eastAsia="" w:cs="" w:asciiTheme="majorHAnsi" w:cstheme="majorBidi" w:eastAsiaTheme="majorEastAsia" w:hAnsiTheme="majorHAnsi"/>
      <w:b/>
      <w:sz w:val="24"/>
      <w:szCs w:val="24"/>
    </w:rPr>
  </w:style>
  <w:style w:type="paragraph" w:styleId="Envelopereturn">
    <w:name w:val="envelope return"/>
    <w:basedOn w:val="Normal"/>
    <w:uiPriority w:val="99"/>
    <w:semiHidden/>
    <w:unhideWhenUsed/>
    <w:qFormat/>
    <w:rsid w:val="00ae7444"/>
    <w:pPr/>
    <w:rPr>
      <w:rFonts w:ascii="Cambria" w:hAnsi="Cambria" w:eastAsia="" w:cs="" w:asciiTheme="majorHAnsi" w:cstheme="majorBidi" w:eastAsiaTheme="majorEastAsia" w:hAnsiTheme="majorHAnsi"/>
      <w:b/>
      <w:i/>
      <w:sz w:val="24"/>
      <w:szCs w:val="20"/>
    </w:rPr>
  </w:style>
  <w:style w:type="paragraph" w:styleId="Title">
    <w:name w:val="Title"/>
    <w:basedOn w:val="Normal"/>
    <w:link w:val="TitleChar"/>
    <w:uiPriority w:val="10"/>
    <w:qFormat/>
    <w:rsid w:val="00217ffe"/>
    <w:pPr>
      <w:spacing w:before="91" w:after="0"/>
      <w:ind w:left="2260" w:hanging="664"/>
    </w:pPr>
    <w:rPr>
      <w:b/>
      <w:bCs/>
      <w:sz w:val="23"/>
      <w:szCs w:val="23"/>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217ffe"/>
    <w:pPr>
      <w:tabs>
        <w:tab w:val="clear" w:pos="720"/>
        <w:tab w:val="center" w:pos="4680" w:leader="none"/>
        <w:tab w:val="right" w:pos="9360" w:leader="none"/>
      </w:tabs>
    </w:pPr>
    <w:rPr/>
  </w:style>
  <w:style w:type="paragraph" w:styleId="Header">
    <w:name w:val="Header"/>
    <w:basedOn w:val="Normal"/>
    <w:link w:val="HeaderChar"/>
    <w:uiPriority w:val="99"/>
    <w:unhideWhenUsed/>
    <w:rsid w:val="00556ff0"/>
    <w:pPr>
      <w:tabs>
        <w:tab w:val="clear" w:pos="720"/>
        <w:tab w:val="center" w:pos="4680" w:leader="none"/>
        <w:tab w:val="right" w:pos="9360" w:leader="none"/>
      </w:tabs>
    </w:pPr>
    <w:rPr/>
  </w:style>
  <w:style w:type="paragraph" w:styleId="ListParagraph">
    <w:name w:val="List Paragraph"/>
    <w:basedOn w:val="Normal"/>
    <w:uiPriority w:val="1"/>
    <w:qFormat/>
    <w:rsid w:val="00db5069"/>
    <w:pPr/>
    <w:rPr/>
  </w:style>
  <w:style w:type="paragraph" w:styleId="Paragraph" w:customStyle="1">
    <w:name w:val="Paragraph"/>
    <w:link w:val="ParagraphChar1"/>
    <w:qFormat/>
    <w:rsid w:val="00db5069"/>
    <w:pPr>
      <w:widowControl/>
      <w:suppressAutoHyphens w:val="true"/>
      <w:bidi w:val="0"/>
      <w:spacing w:before="120" w:after="0"/>
      <w:jc w:val="left"/>
    </w:pPr>
    <w:rPr>
      <w:rFonts w:ascii="Times New Roman" w:hAnsi="Times New Roman" w:eastAsia="Times New Roman" w:cs="Times New Roman"/>
      <w:color w:val="000000"/>
      <w:kern w:val="0"/>
      <w:sz w:val="24"/>
      <w:szCs w:val="24"/>
      <w:lang w:val="en-US" w:eastAsia="en-US"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contact@lawofficeofalphonsetalarico.com" TargetMode="Externa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9DE6-7814-41E9-BFB6-FD155BF2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7919</TotalTime>
  <Application>LibreOffice/7.1.4.2$Windows_X86_64 LibreOffice_project/a529a4fab45b75fefc5b6226684193eb000654f6</Application>
  <AppVersion>15.0000</AppVersion>
  <Pages>15</Pages>
  <Words>3151</Words>
  <Characters>16065</Characters>
  <CharactersWithSpaces>19219</CharactersWithSpaces>
  <Paragraphs>232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2023-04-25T15:52:00Z</dcterms:created>
  <dc:creator>Alphonse Talarico</dc:creator>
  <dc:description/>
  <dc:language>en-US</dc:language>
  <cp:lastModifiedBy/>
  <dcterms:modified xsi:type="dcterms:W3CDTF">2023-06-07T17:05:22Z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file>